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40F" w:rsidRDefault="0046189D">
      <w:pPr>
        <w:pStyle w:val="a9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Управление средствами пенсионных накоплений.</w:t>
      </w:r>
    </w:p>
    <w:p w:rsidR="004D340F" w:rsidRDefault="0046189D">
      <w:pPr>
        <w:pStyle w:val="a9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С 2014 года по решению государства взносы на накопительную пенсию были «заморожены», это значит, что работодатели страховые взносы за своих работников в полном объеме (22% от фонда оплаты труда) стали </w:t>
      </w:r>
      <w:r>
        <w:rPr>
          <w:rFonts w:ascii="Times New Roman" w:hAnsi="Times New Roman" w:cs="Times New Roman"/>
          <w:sz w:val="26"/>
          <w:szCs w:val="26"/>
        </w:rPr>
        <w:t>направлять на формирование страховой пенсии.</w:t>
      </w:r>
    </w:p>
    <w:p w:rsidR="004D340F" w:rsidRDefault="0046189D">
      <w:pPr>
        <w:pStyle w:val="a9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Тем 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менее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граждане, у которых зафиксированы средства пенсионных накоплений на индивидуальном лицевом счете, вправе передавать эти средства от одного страховщика другому для инвестирования на финансовом рынке.</w:t>
      </w:r>
    </w:p>
    <w:p w:rsidR="004D340F" w:rsidRDefault="0046189D">
      <w:pPr>
        <w:pStyle w:val="a9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>У кого могут быть средства пенсионных накоплений (СПН):</w:t>
      </w:r>
    </w:p>
    <w:p w:rsidR="004D340F" w:rsidRDefault="0046189D">
      <w:pPr>
        <w:pStyle w:val="a9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>Мужчины 1953 г.р. и моложе.</w:t>
      </w:r>
    </w:p>
    <w:p w:rsidR="004D340F" w:rsidRDefault="0046189D">
      <w:pPr>
        <w:pStyle w:val="a9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>Женщины  1957 г.р. и моложе.</w:t>
      </w:r>
    </w:p>
    <w:p w:rsidR="004D340F" w:rsidRDefault="0046189D">
      <w:pPr>
        <w:pStyle w:val="a9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>Независимо от возраста индивидуальные предприниматели, которые уплачивали страховые взносы  в 2002-2004 гг.</w:t>
      </w:r>
    </w:p>
    <w:p w:rsidR="004D340F" w:rsidRDefault="0046189D">
      <w:pPr>
        <w:pStyle w:val="a9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>Независимо от возраста участники П</w:t>
      </w:r>
      <w:r>
        <w:rPr>
          <w:rFonts w:ascii="Times New Roman" w:hAnsi="Times New Roman" w:cs="Times New Roman"/>
          <w:sz w:val="26"/>
          <w:szCs w:val="26"/>
        </w:rPr>
        <w:t xml:space="preserve">рограммы государственного 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пенсии. </w:t>
      </w:r>
    </w:p>
    <w:p w:rsidR="004D340F" w:rsidRDefault="0046189D">
      <w:pPr>
        <w:pStyle w:val="a9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>Страховщиком может быть Пенсионный фонд России (ПФР) или Негосударственный пенсионный фонд (НПФ), входящий в систему гарантирования прав застрахованных лиц (ЗЛ) в системе обязательного пенсионного страхо</w:t>
      </w:r>
      <w:r>
        <w:rPr>
          <w:rFonts w:ascii="Times New Roman" w:hAnsi="Times New Roman" w:cs="Times New Roman"/>
          <w:sz w:val="26"/>
          <w:szCs w:val="26"/>
        </w:rPr>
        <w:t>вания.  ПФР  инвестирует СПН через государственную управляющую компанию «Государственная корпорация развития ВЭБ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Ф» и через частные управляющие компании.</w:t>
      </w:r>
    </w:p>
    <w:p w:rsidR="004D340F" w:rsidRDefault="0046189D">
      <w:pPr>
        <w:pStyle w:val="a9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>Пользоваться правом на смену страховщика можно ежегодно. Досрочный переход к новому страховщик</w:t>
      </w:r>
      <w:proofErr w:type="gramStart"/>
      <w:r>
        <w:rPr>
          <w:rFonts w:ascii="Times New Roman" w:hAnsi="Times New Roman" w:cs="Times New Roman"/>
          <w:sz w:val="26"/>
          <w:szCs w:val="26"/>
        </w:rPr>
        <w:t>у-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это </w:t>
      </w:r>
      <w:r>
        <w:rPr>
          <w:rFonts w:ascii="Times New Roman" w:hAnsi="Times New Roman" w:cs="Times New Roman"/>
          <w:sz w:val="26"/>
          <w:szCs w:val="26"/>
        </w:rPr>
        <w:t>смена страховщика, которая осуществляется в году, следующем за годом подачи ЗЛ заявления о досрочном переводе(в 2019 заявление, в 2020 - перевод). Смена страховщика чаще одного раза в год может повлечь потерю инвестиционного дохода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>м Памятку). При этом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если страховщиком является ПФР, смену управляющей компании или инвестиционного портфеля можно ежегодно без потери.</w:t>
      </w:r>
    </w:p>
    <w:p w:rsidR="004D340F" w:rsidRDefault="0046189D">
      <w:pPr>
        <w:pStyle w:val="a9"/>
        <w:jc w:val="both"/>
      </w:pPr>
      <w:r>
        <w:rPr>
          <w:rFonts w:ascii="Times New Roman" w:hAnsi="Times New Roman" w:cs="Times New Roman"/>
          <w:sz w:val="26"/>
          <w:szCs w:val="26"/>
        </w:rPr>
        <w:t>Заявление о переход</w:t>
      </w:r>
      <w:proofErr w:type="gramStart"/>
      <w:r>
        <w:rPr>
          <w:rFonts w:ascii="Times New Roman" w:hAnsi="Times New Roman" w:cs="Times New Roman"/>
          <w:sz w:val="26"/>
          <w:szCs w:val="26"/>
        </w:rPr>
        <w:t>е(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через 5 лет) рассматривается до 1 марта года, следующего за годом, в котором истекает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пятитилетний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срок с года подачи з</w:t>
      </w:r>
      <w:r>
        <w:rPr>
          <w:rFonts w:ascii="Times New Roman" w:hAnsi="Times New Roman" w:cs="Times New Roman"/>
          <w:sz w:val="26"/>
          <w:szCs w:val="26"/>
        </w:rPr>
        <w:t>аявления.(в 2019 заявление, перевод в 2024).</w:t>
      </w:r>
    </w:p>
    <w:p w:rsidR="004D340F" w:rsidRDefault="0046189D">
      <w:pPr>
        <w:pStyle w:val="a9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Для того</w:t>
      </w:r>
      <w:proofErr w:type="gramStart"/>
      <w:r>
        <w:rPr>
          <w:rFonts w:ascii="Times New Roman" w:hAnsi="Times New Roman" w:cs="Times New Roman"/>
          <w:sz w:val="26"/>
          <w:szCs w:val="26"/>
        </w:rPr>
        <w:t>,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чтобы перевести СПН, необходимо подать в ПФР соответствующее заявление, а для перевода в НПФ еще и заключить договор с НПФ. </w:t>
      </w:r>
    </w:p>
    <w:p w:rsidR="004D340F" w:rsidRDefault="0046189D">
      <w:pPr>
        <w:pStyle w:val="a9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Сроки приема заявлений (уведомлений): </w:t>
      </w:r>
    </w:p>
    <w:p w:rsidR="004D340F" w:rsidRDefault="0046189D">
      <w:pPr>
        <w:pStyle w:val="a3"/>
        <w:jc w:val="both"/>
      </w:pPr>
      <w:r>
        <w:rPr>
          <w:noProof/>
          <w:sz w:val="26"/>
          <w:szCs w:val="26"/>
          <w:lang w:eastAsia="ru-RU"/>
        </w:rPr>
        <w:lastRenderedPageBreak/>
        <w:drawing>
          <wp:inline distT="0" distB="0" distL="0" distR="0">
            <wp:extent cx="6111875" cy="2051050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7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40F" w:rsidRDefault="0046189D">
      <w:pPr>
        <w:pStyle w:val="a9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ab/>
        <w:t>Способы подачи заявлений (уведомл</w:t>
      </w:r>
      <w:r>
        <w:rPr>
          <w:rFonts w:ascii="Times New Roman" w:hAnsi="Times New Roman" w:cs="Times New Roman"/>
          <w:sz w:val="26"/>
          <w:szCs w:val="26"/>
        </w:rPr>
        <w:t>ений):</w:t>
      </w:r>
    </w:p>
    <w:p w:rsidR="004D340F" w:rsidRDefault="0046189D">
      <w:pPr>
        <w:pStyle w:val="a3"/>
        <w:spacing w:line="360" w:lineRule="atLeast"/>
        <w:jc w:val="both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81215" cy="6331789"/>
            <wp:effectExtent l="19050" t="0" r="0" b="0"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782" cy="6335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40F" w:rsidRDefault="004D340F">
      <w:pPr>
        <w:pStyle w:val="a3"/>
        <w:jc w:val="both"/>
      </w:pPr>
    </w:p>
    <w:p w:rsidR="004D340F" w:rsidRDefault="004D340F">
      <w:pPr>
        <w:pStyle w:val="a3"/>
        <w:jc w:val="both"/>
      </w:pPr>
    </w:p>
    <w:p w:rsidR="004D340F" w:rsidRDefault="004D340F">
      <w:pPr>
        <w:pStyle w:val="a3"/>
        <w:jc w:val="both"/>
      </w:pPr>
    </w:p>
    <w:p w:rsidR="004D340F" w:rsidRDefault="0046189D">
      <w:pPr>
        <w:pStyle w:val="a9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До 31 декабря 2015 гражданам было предоставлено право выбора варианта пенсионного обеспечения: перечислять все </w:t>
      </w:r>
      <w:proofErr w:type="gramStart"/>
      <w:r>
        <w:rPr>
          <w:rFonts w:ascii="Times New Roman" w:hAnsi="Times New Roman" w:cs="Times New Roman"/>
          <w:sz w:val="26"/>
          <w:szCs w:val="26"/>
        </w:rPr>
        <w:t>СВ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формирование только страховой пенсии или формировать и страховую и накопительную пенсию за счет новых взносов, когда государст</w:t>
      </w:r>
      <w:r>
        <w:rPr>
          <w:rFonts w:ascii="Times New Roman" w:hAnsi="Times New Roman" w:cs="Times New Roman"/>
          <w:sz w:val="26"/>
          <w:szCs w:val="26"/>
        </w:rPr>
        <w:t>во примет решение о их возобновлении. При этом все СПН, сформированные до 31 декабря 2015, сохраняются за гражданами.</w:t>
      </w:r>
    </w:p>
    <w:p w:rsidR="004D340F" w:rsidRDefault="004D340F">
      <w:pPr>
        <w:pStyle w:val="a9"/>
        <w:jc w:val="both"/>
      </w:pPr>
    </w:p>
    <w:p w:rsidR="004D340F" w:rsidRDefault="0046189D">
      <w:pPr>
        <w:pStyle w:val="a9"/>
        <w:jc w:val="right"/>
      </w:pPr>
      <w:r>
        <w:t>Пресс-группа УПФР в Вятскополянском районе Кировской области (</w:t>
      </w:r>
      <w:proofErr w:type="gramStart"/>
      <w:r>
        <w:t>межрайонного</w:t>
      </w:r>
      <w:proofErr w:type="gramEnd"/>
      <w:r>
        <w:t>)</w:t>
      </w:r>
    </w:p>
    <w:sectPr w:rsidR="004D340F" w:rsidSect="004D340F">
      <w:pgSz w:w="11905" w:h="16837"/>
      <w:pgMar w:top="1290" w:right="850" w:bottom="1132" w:left="1155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84F45"/>
    <w:multiLevelType w:val="multilevel"/>
    <w:tmpl w:val="7236EA8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6375BF"/>
    <w:multiLevelType w:val="multilevel"/>
    <w:tmpl w:val="E70A03BC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abstractNum w:abstractNumId="2">
    <w:nsid w:val="7F121FEF"/>
    <w:multiLevelType w:val="multilevel"/>
    <w:tmpl w:val="A8B6EC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D340F"/>
    <w:rsid w:val="0046189D"/>
    <w:rsid w:val="004D3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4D340F"/>
    <w:pPr>
      <w:tabs>
        <w:tab w:val="left" w:pos="709"/>
      </w:tabs>
      <w:suppressAutoHyphens/>
      <w:spacing w:line="276" w:lineRule="atLeast"/>
    </w:pPr>
    <w:rPr>
      <w:rFonts w:ascii="Calibri" w:eastAsia="Arial Unicode MS" w:hAnsi="Calibri"/>
      <w:lang w:eastAsia="en-US"/>
    </w:rPr>
  </w:style>
  <w:style w:type="paragraph" w:customStyle="1" w:styleId="a4">
    <w:name w:val="Заголовок"/>
    <w:basedOn w:val="a3"/>
    <w:next w:val="a5"/>
    <w:rsid w:val="004D340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3"/>
    <w:rsid w:val="004D340F"/>
    <w:pPr>
      <w:spacing w:after="120"/>
    </w:pPr>
  </w:style>
  <w:style w:type="paragraph" w:styleId="a6">
    <w:name w:val="List"/>
    <w:basedOn w:val="a5"/>
    <w:rsid w:val="004D340F"/>
    <w:rPr>
      <w:rFonts w:ascii="Arial" w:hAnsi="Arial" w:cs="Tahoma"/>
    </w:rPr>
  </w:style>
  <w:style w:type="paragraph" w:styleId="a7">
    <w:name w:val="Title"/>
    <w:basedOn w:val="a3"/>
    <w:rsid w:val="004D340F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a8">
    <w:name w:val="index heading"/>
    <w:basedOn w:val="a3"/>
    <w:rsid w:val="004D340F"/>
    <w:pPr>
      <w:suppressLineNumbers/>
    </w:pPr>
    <w:rPr>
      <w:rFonts w:ascii="Arial" w:hAnsi="Arial" w:cs="Tahoma"/>
    </w:rPr>
  </w:style>
  <w:style w:type="paragraph" w:styleId="a9">
    <w:name w:val="List Paragraph"/>
    <w:basedOn w:val="a3"/>
    <w:rsid w:val="004D340F"/>
  </w:style>
  <w:style w:type="paragraph" w:styleId="aa">
    <w:name w:val="Balloon Text"/>
    <w:basedOn w:val="a"/>
    <w:link w:val="ab"/>
    <w:uiPriority w:val="99"/>
    <w:semiHidden/>
    <w:unhideWhenUsed/>
    <w:rsid w:val="004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1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371</Words>
  <Characters>2118</Characters>
  <Application>Microsoft Office Word</Application>
  <DocSecurity>0</DocSecurity>
  <Lines>17</Lines>
  <Paragraphs>4</Paragraphs>
  <ScaleCrop>false</ScaleCrop>
  <Company>УПФР в Вятско-Полянском районе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Костогрызова Галина Алексеевна</dc:creator>
  <cp:lastModifiedBy>111003</cp:lastModifiedBy>
  <cp:revision>3</cp:revision>
  <cp:lastPrinted>2018-09-13T11:32:00Z</cp:lastPrinted>
  <dcterms:created xsi:type="dcterms:W3CDTF">2018-09-13T11:32:00Z</dcterms:created>
  <dcterms:modified xsi:type="dcterms:W3CDTF">2019-04-05T10:41:00Z</dcterms:modified>
</cp:coreProperties>
</file>