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7B1" w:rsidRDefault="000E2469" w:rsidP="000E2469">
      <w:pPr>
        <w:pStyle w:val="1"/>
        <w:shd w:val="clear" w:color="auto" w:fill="auto"/>
        <w:spacing w:line="240" w:lineRule="auto"/>
        <w:ind w:firstLine="709"/>
        <w:rPr>
          <w:rFonts w:asciiTheme="minorHAnsi" w:hAnsiTheme="minorHAnsi" w:cs="Times New Roman"/>
          <w:sz w:val="32"/>
          <w:szCs w:val="32"/>
        </w:rPr>
      </w:pPr>
      <w:r>
        <w:rPr>
          <w:rFonts w:asciiTheme="minorHAnsi" w:hAnsiTheme="minorHAnsi" w:cs="Times New Roman"/>
          <w:noProof/>
          <w:sz w:val="32"/>
          <w:szCs w:val="32"/>
        </w:rPr>
        <w:drawing>
          <wp:anchor distT="0" distB="0" distL="114300" distR="114300" simplePos="0" relativeHeight="251658240" behindDoc="1" locked="0" layoutInCell="1" allowOverlap="1" wp14:anchorId="319D868D" wp14:editId="033FA47F">
            <wp:simplePos x="0" y="0"/>
            <wp:positionH relativeFrom="column">
              <wp:posOffset>-94978</wp:posOffset>
            </wp:positionH>
            <wp:positionV relativeFrom="paragraph">
              <wp:posOffset>-115067</wp:posOffset>
            </wp:positionV>
            <wp:extent cx="2295525" cy="10953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5525" cy="1095375"/>
                    </a:xfrm>
                    <a:prstGeom prst="rect">
                      <a:avLst/>
                    </a:prstGeom>
                    <a:noFill/>
                  </pic:spPr>
                </pic:pic>
              </a:graphicData>
            </a:graphic>
            <wp14:sizeRelH relativeFrom="page">
              <wp14:pctWidth>0</wp14:pctWidth>
            </wp14:sizeRelH>
            <wp14:sizeRelV relativeFrom="page">
              <wp14:pctHeight>0</wp14:pctHeight>
            </wp14:sizeRelV>
          </wp:anchor>
        </w:drawing>
      </w:r>
    </w:p>
    <w:p w:rsidR="003079B4" w:rsidRDefault="003079B4" w:rsidP="007F237D">
      <w:pPr>
        <w:pStyle w:val="1"/>
        <w:shd w:val="clear" w:color="auto" w:fill="auto"/>
        <w:spacing w:line="240" w:lineRule="auto"/>
        <w:ind w:left="-567" w:firstLine="709"/>
        <w:rPr>
          <w:rFonts w:asciiTheme="minorHAnsi" w:hAnsiTheme="minorHAnsi" w:cs="Times New Roman"/>
          <w:sz w:val="32"/>
          <w:szCs w:val="32"/>
        </w:rPr>
      </w:pPr>
    </w:p>
    <w:p w:rsidR="00B25B01" w:rsidRDefault="00B25B01" w:rsidP="00B25B01">
      <w:pPr>
        <w:pStyle w:val="1"/>
        <w:shd w:val="clear" w:color="auto" w:fill="auto"/>
        <w:spacing w:line="240" w:lineRule="auto"/>
        <w:ind w:left="-567" w:firstLine="709"/>
        <w:rPr>
          <w:rFonts w:asciiTheme="minorHAnsi" w:hAnsiTheme="minorHAnsi" w:cs="Times New Roman"/>
          <w:b/>
          <w:sz w:val="32"/>
          <w:szCs w:val="32"/>
        </w:rPr>
      </w:pPr>
    </w:p>
    <w:p w:rsidR="000E2469" w:rsidRPr="00B25B01" w:rsidRDefault="00B25B01" w:rsidP="00B25B01">
      <w:pPr>
        <w:pStyle w:val="1"/>
        <w:shd w:val="clear" w:color="auto" w:fill="auto"/>
        <w:spacing w:line="240" w:lineRule="auto"/>
        <w:ind w:left="-567" w:firstLine="709"/>
        <w:rPr>
          <w:rFonts w:asciiTheme="minorHAnsi" w:hAnsiTheme="minorHAnsi" w:cs="Times New Roman"/>
          <w:b/>
          <w:sz w:val="32"/>
          <w:szCs w:val="32"/>
        </w:rPr>
      </w:pPr>
      <w:r w:rsidRPr="005A694B">
        <w:rPr>
          <w:rFonts w:asciiTheme="minorHAnsi" w:hAnsiTheme="minorHAnsi" w:cs="Times New Roman"/>
          <w:b/>
          <w:sz w:val="32"/>
          <w:szCs w:val="32"/>
        </w:rPr>
        <w:t>ПРЕСС-РЕЛИЗ</w:t>
      </w:r>
    </w:p>
    <w:p w:rsidR="00A0115E" w:rsidRDefault="00A0115E" w:rsidP="00A0115E">
      <w:pPr>
        <w:pStyle w:val="1"/>
        <w:ind w:firstLine="851"/>
        <w:jc w:val="center"/>
        <w:rPr>
          <w:rFonts w:asciiTheme="minorHAnsi" w:hAnsiTheme="minorHAnsi" w:cs="Times New Roman"/>
          <w:b/>
          <w:sz w:val="32"/>
          <w:szCs w:val="32"/>
        </w:rPr>
      </w:pPr>
      <w:r w:rsidRPr="00A0115E">
        <w:rPr>
          <w:rFonts w:asciiTheme="minorHAnsi" w:hAnsiTheme="minorHAnsi" w:cs="Times New Roman"/>
          <w:b/>
          <w:sz w:val="32"/>
          <w:szCs w:val="32"/>
        </w:rPr>
        <w:t>В Госдуму внесён законопроект о государственном кадастровом учёте</w:t>
      </w:r>
    </w:p>
    <w:p w:rsidR="005A694B" w:rsidRPr="00D15772" w:rsidRDefault="007D487D" w:rsidP="00D15772">
      <w:pPr>
        <w:pStyle w:val="1"/>
        <w:ind w:firstLine="851"/>
        <w:jc w:val="both"/>
        <w:rPr>
          <w:rFonts w:asciiTheme="minorHAnsi" w:eastAsiaTheme="minorHAnsi" w:hAnsiTheme="minorHAnsi" w:cs="Times New Roman"/>
          <w:b/>
          <w:sz w:val="32"/>
          <w:szCs w:val="32"/>
          <w:lang w:eastAsia="en-US"/>
        </w:rPr>
      </w:pPr>
      <w:r>
        <w:rPr>
          <w:rFonts w:asciiTheme="minorHAnsi" w:eastAsiaTheme="minorHAnsi" w:hAnsiTheme="minorHAnsi" w:cs="Times New Roman"/>
          <w:sz w:val="28"/>
          <w:szCs w:val="28"/>
          <w:lang w:eastAsia="en-US"/>
        </w:rPr>
        <w:t xml:space="preserve">Управление Росреестра </w:t>
      </w:r>
      <w:r w:rsidRPr="007D487D">
        <w:rPr>
          <w:rFonts w:asciiTheme="minorHAnsi" w:eastAsiaTheme="minorHAnsi" w:hAnsiTheme="minorHAnsi" w:cs="Times New Roman"/>
          <w:sz w:val="28"/>
          <w:szCs w:val="28"/>
          <w:lang w:eastAsia="en-US"/>
        </w:rPr>
        <w:t>по Кировской области</w:t>
      </w:r>
      <w:r>
        <w:rPr>
          <w:rFonts w:asciiTheme="minorHAnsi" w:eastAsiaTheme="minorHAnsi" w:hAnsiTheme="minorHAnsi" w:cs="Times New Roman"/>
          <w:sz w:val="28"/>
          <w:szCs w:val="28"/>
          <w:lang w:eastAsia="en-US"/>
        </w:rPr>
        <w:t xml:space="preserve"> сообщает, что</w:t>
      </w:r>
      <w:r w:rsidR="00BE5F0A">
        <w:rPr>
          <w:rFonts w:asciiTheme="minorHAnsi" w:eastAsiaTheme="minorHAnsi" w:hAnsiTheme="minorHAnsi" w:cs="Times New Roman"/>
          <w:sz w:val="28"/>
          <w:szCs w:val="28"/>
          <w:lang w:eastAsia="en-US"/>
        </w:rPr>
        <w:t xml:space="preserve"> </w:t>
      </w:r>
      <w:bookmarkStart w:id="0" w:name="_GoBack"/>
      <w:bookmarkEnd w:id="0"/>
      <w:r w:rsidR="009C18A6" w:rsidRPr="00BE5F0A">
        <w:rPr>
          <w:rFonts w:asciiTheme="minorHAnsi" w:eastAsiaTheme="minorHAnsi" w:hAnsiTheme="minorHAnsi" w:cs="Times New Roman"/>
          <w:sz w:val="28"/>
          <w:szCs w:val="28"/>
          <w:lang w:eastAsia="en-US"/>
        </w:rPr>
        <w:t>в</w:t>
      </w:r>
      <w:r w:rsidR="009C18A6" w:rsidRPr="009C18A6">
        <w:rPr>
          <w:rFonts w:asciiTheme="minorHAnsi" w:eastAsiaTheme="minorHAnsi" w:hAnsiTheme="minorHAnsi" w:cs="Times New Roman"/>
          <w:sz w:val="28"/>
          <w:szCs w:val="28"/>
          <w:lang w:eastAsia="en-US"/>
        </w:rPr>
        <w:t xml:space="preserve"> </w:t>
      </w:r>
      <w:r w:rsidR="005A694B" w:rsidRPr="005A694B">
        <w:rPr>
          <w:rFonts w:asciiTheme="minorHAnsi" w:eastAsiaTheme="minorHAnsi" w:hAnsiTheme="minorHAnsi" w:cs="Times New Roman"/>
          <w:sz w:val="28"/>
          <w:szCs w:val="28"/>
          <w:lang w:eastAsia="en-US"/>
        </w:rPr>
        <w:t>Государственную Думу внесен законопроект, направленный на повышение качества и доступности государственной услуги по осуществлению кадастрового учета объектов недвижимости и государственной регистрации прав на них. Законопроект в числе прочего предусматривает право ФГБУ «ФКП Росреестра» в случаях, установленных Правительством Российской Федерации, выполнять кадастровые работы.</w:t>
      </w:r>
    </w:p>
    <w:p w:rsidR="005A694B" w:rsidRPr="005A694B" w:rsidRDefault="005A694B" w:rsidP="00D15772">
      <w:pPr>
        <w:pStyle w:val="1"/>
        <w:ind w:firstLine="709"/>
        <w:jc w:val="both"/>
        <w:rPr>
          <w:rFonts w:asciiTheme="minorHAnsi" w:eastAsiaTheme="minorHAnsi" w:hAnsiTheme="minorHAnsi" w:cs="Times New Roman"/>
          <w:b/>
          <w:sz w:val="28"/>
          <w:szCs w:val="28"/>
          <w:lang w:eastAsia="en-US"/>
        </w:rPr>
      </w:pPr>
      <w:r w:rsidRPr="005A694B">
        <w:rPr>
          <w:rFonts w:asciiTheme="minorHAnsi" w:eastAsiaTheme="minorHAnsi" w:hAnsiTheme="minorHAnsi" w:cs="Times New Roman"/>
          <w:sz w:val="28"/>
          <w:szCs w:val="28"/>
          <w:lang w:eastAsia="en-US"/>
        </w:rPr>
        <w:t>В настоящий момент в России работают 25 109 кадастровых инженеров (состоят в саморегулируемых организациях). Они получат новые возможности для осуществления своей деятельности, будут созданы дополнительные рабочие места, а для клиентов услуги будут оказываться более качественно.</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p>
    <w:p w:rsidR="005A694B" w:rsidRPr="005A694B" w:rsidRDefault="005A694B" w:rsidP="00D15772">
      <w:pPr>
        <w:pStyle w:val="1"/>
        <w:jc w:val="center"/>
        <w:rPr>
          <w:rFonts w:asciiTheme="minorHAnsi" w:eastAsiaTheme="minorHAnsi" w:hAnsiTheme="minorHAnsi" w:cs="Times New Roman"/>
          <w:sz w:val="28"/>
          <w:szCs w:val="28"/>
          <w:lang w:eastAsia="en-US"/>
        </w:rPr>
      </w:pPr>
      <w:r w:rsidRPr="005A694B">
        <w:rPr>
          <w:rFonts w:asciiTheme="minorHAnsi" w:eastAsiaTheme="minorHAnsi" w:hAnsiTheme="minorHAnsi" w:cs="Times New Roman"/>
          <w:b/>
          <w:sz w:val="28"/>
          <w:szCs w:val="28"/>
          <w:lang w:eastAsia="en-US"/>
        </w:rPr>
        <w:t>Что предлагается изменить</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 xml:space="preserve">Данный законопроект закрепляет ряд полномочий органа регистрации прав за ФГБУ «ФКП Росреестра» и полномочия по выполнению кадастровых работ в качестве «государственного кадастрового инженера» в установленных Правительством РФ случаях. Предлагаемые изменения не содержат положений, предусматривающих какую-либо монополию государственного учреждения на осуществление кадастровой деятельности и деятельности по подготовке документов для внесения сведений в реестр границ. </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После принятия законопроекта все кадастровые инженеры будут так же работать в рамках единого правового поля на условиях, предусмотренных законодательством о конкуренции. Более того, у них появится дополнительная возможность трудоустроиться в Федеральную кадастровую палату и гарантированно принимать участие в государственных проектах.</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p>
    <w:p w:rsidR="005A694B" w:rsidRPr="005A694B" w:rsidRDefault="005A694B" w:rsidP="00D15772">
      <w:pPr>
        <w:pStyle w:val="1"/>
        <w:jc w:val="center"/>
        <w:rPr>
          <w:rFonts w:asciiTheme="minorHAnsi" w:eastAsiaTheme="minorHAnsi" w:hAnsiTheme="minorHAnsi" w:cs="Times New Roman"/>
          <w:sz w:val="28"/>
          <w:szCs w:val="28"/>
          <w:lang w:eastAsia="en-US"/>
        </w:rPr>
      </w:pPr>
      <w:r w:rsidRPr="005A694B">
        <w:rPr>
          <w:rFonts w:asciiTheme="minorHAnsi" w:eastAsiaTheme="minorHAnsi" w:hAnsiTheme="minorHAnsi" w:cs="Times New Roman"/>
          <w:b/>
          <w:sz w:val="28"/>
          <w:szCs w:val="28"/>
          <w:lang w:eastAsia="en-US"/>
        </w:rPr>
        <w:t>Поддержка реализации масштабных государственных задач</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 xml:space="preserve">Предлагаемый подход направлен на решение задач по завершению кадастрового учета государственного имущества, определение границ лесничеств, особо охраняемых природных территорий федерального значения, границ между субъектами Российской Федерации и других объектов публичного </w:t>
      </w:r>
      <w:r w:rsidRPr="005A694B">
        <w:rPr>
          <w:rFonts w:asciiTheme="minorHAnsi" w:eastAsiaTheme="minorHAnsi" w:hAnsiTheme="minorHAnsi" w:cs="Times New Roman"/>
          <w:sz w:val="28"/>
          <w:szCs w:val="28"/>
          <w:lang w:eastAsia="en-US"/>
        </w:rPr>
        <w:lastRenderedPageBreak/>
        <w:t xml:space="preserve">характера. </w:t>
      </w:r>
    </w:p>
    <w:p w:rsid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Важнейшей задачей для выполнения национальных проектов является обеспечение высоких темпов строительства новых объектов. Принятие данного законопроекта способствует этому и позволит повысить качество предоставления услуг по кадастровому учету и оформлению прав для государственных и муниципальных объектов, сократить сроки и затраты для людей.</w:t>
      </w:r>
    </w:p>
    <w:p w:rsidR="00D15772" w:rsidRPr="005A694B" w:rsidRDefault="00D15772" w:rsidP="00D15772">
      <w:pPr>
        <w:pStyle w:val="1"/>
        <w:ind w:firstLine="709"/>
        <w:jc w:val="both"/>
        <w:rPr>
          <w:rFonts w:asciiTheme="minorHAnsi" w:eastAsiaTheme="minorHAnsi" w:hAnsiTheme="minorHAnsi" w:cs="Times New Roman"/>
          <w:sz w:val="28"/>
          <w:szCs w:val="28"/>
          <w:lang w:eastAsia="en-US"/>
        </w:rPr>
      </w:pPr>
    </w:p>
    <w:p w:rsidR="005A694B" w:rsidRPr="005A694B" w:rsidRDefault="005A694B" w:rsidP="00D15772">
      <w:pPr>
        <w:pStyle w:val="1"/>
        <w:jc w:val="center"/>
        <w:rPr>
          <w:rFonts w:asciiTheme="minorHAnsi" w:eastAsiaTheme="minorHAnsi" w:hAnsiTheme="minorHAnsi" w:cs="Times New Roman"/>
          <w:sz w:val="28"/>
          <w:szCs w:val="28"/>
          <w:lang w:eastAsia="en-US"/>
        </w:rPr>
      </w:pPr>
      <w:r w:rsidRPr="005A694B">
        <w:rPr>
          <w:rFonts w:asciiTheme="minorHAnsi" w:eastAsiaTheme="minorHAnsi" w:hAnsiTheme="minorHAnsi" w:cs="Times New Roman"/>
          <w:b/>
          <w:sz w:val="28"/>
          <w:szCs w:val="28"/>
          <w:lang w:eastAsia="en-US"/>
        </w:rPr>
        <w:t>Приоритет – клиент</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В результате проведения кадастровых работ ненадлежащего качества возникают риски внесения недостоверных сведений в один из важнейших государственных информационных ресурсов страны – Единый государственный реестр недвижимости. Сведения о характеристиках объектов недвижимости, содержащиеся в ЕГРН, являются гарантией права собственности, а также</w:t>
      </w:r>
      <w:r w:rsidRPr="005A694B">
        <w:rPr>
          <w:rFonts w:asciiTheme="minorHAnsi" w:eastAsiaTheme="minorHAnsi" w:hAnsiTheme="minorHAnsi" w:cs="Times New Roman"/>
          <w:b/>
          <w:sz w:val="28"/>
          <w:szCs w:val="28"/>
          <w:lang w:eastAsia="en-US"/>
        </w:rPr>
        <w:t xml:space="preserve"> </w:t>
      </w:r>
      <w:r w:rsidRPr="005A694B">
        <w:rPr>
          <w:rFonts w:asciiTheme="minorHAnsi" w:eastAsiaTheme="minorHAnsi" w:hAnsiTheme="minorHAnsi" w:cs="Times New Roman"/>
          <w:sz w:val="28"/>
          <w:szCs w:val="28"/>
          <w:lang w:eastAsia="en-US"/>
        </w:rPr>
        <w:t>определяющими</w:t>
      </w:r>
      <w:r w:rsidRPr="005A694B">
        <w:rPr>
          <w:rFonts w:asciiTheme="minorHAnsi" w:eastAsiaTheme="minorHAnsi" w:hAnsiTheme="minorHAnsi" w:cs="Times New Roman"/>
          <w:b/>
          <w:sz w:val="28"/>
          <w:szCs w:val="28"/>
          <w:lang w:eastAsia="en-US"/>
        </w:rPr>
        <w:t xml:space="preserve"> </w:t>
      </w:r>
      <w:r w:rsidRPr="005A694B">
        <w:rPr>
          <w:rFonts w:asciiTheme="minorHAnsi" w:eastAsiaTheme="minorHAnsi" w:hAnsiTheme="minorHAnsi" w:cs="Times New Roman"/>
          <w:sz w:val="28"/>
          <w:szCs w:val="28"/>
          <w:lang w:eastAsia="en-US"/>
        </w:rPr>
        <w:t>при установлении размера кадастровой стоимости, которая, в свою очередь, необходима для исчисления имущественных налогов и сборов. Ошибки в этих данных могут привести к существенным рискам для правообладателей и налогоплательщиков.</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 xml:space="preserve">Больше всего рисков возникает при реализации масштабных проектов в силу их сложности и необходимости применения комплексного подхода в условиях ограниченных сроков. Например, такие риски проявились при выполнении кадастровых работ в отношении объектов Минобороны России, спортивных объектов, возведенных для проведения чемпионата мира по футболу в 2018 году, и других объектов федерального значения. </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p>
    <w:p w:rsidR="005A694B" w:rsidRPr="005A694B" w:rsidRDefault="005A694B" w:rsidP="00D15772">
      <w:pPr>
        <w:pStyle w:val="1"/>
        <w:jc w:val="center"/>
        <w:rPr>
          <w:rFonts w:asciiTheme="minorHAnsi" w:eastAsiaTheme="minorHAnsi" w:hAnsiTheme="minorHAnsi" w:cs="Times New Roman"/>
          <w:b/>
          <w:sz w:val="28"/>
          <w:szCs w:val="28"/>
          <w:lang w:eastAsia="en-US"/>
        </w:rPr>
      </w:pPr>
      <w:r w:rsidRPr="005A694B">
        <w:rPr>
          <w:rFonts w:asciiTheme="minorHAnsi" w:eastAsiaTheme="minorHAnsi" w:hAnsiTheme="minorHAnsi" w:cs="Times New Roman"/>
          <w:b/>
          <w:sz w:val="28"/>
          <w:szCs w:val="28"/>
          <w:lang w:eastAsia="en-US"/>
        </w:rPr>
        <w:t>Будет развиваться сервис «Личный кабинет кадастрового инженера»</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Закрепление новых полномочий за Федеральной кадастровой палатой позволит повысить эффективность системы государственного кадастрового учета и регистрации прав в целом. Прежде всего в части минимизации количества приостановок и отказов, сокращения сроков и издержек заявителей.</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 xml:space="preserve">Законопроектом также предусмотрено развитие электронного сервиса «Личный кабинет кадастрового инженера», что позволит вывести процесс информационного взаимодействия кадастрового инженера и органа регистрации на новый уровень и сделать его более прозрачным, доступным и эффективным. </w:t>
      </w:r>
    </w:p>
    <w:p w:rsidR="005A694B" w:rsidRPr="005A694B" w:rsidRDefault="005A694B" w:rsidP="00D15772">
      <w:pPr>
        <w:pStyle w:val="1"/>
        <w:ind w:firstLine="851"/>
        <w:jc w:val="both"/>
        <w:rPr>
          <w:rFonts w:asciiTheme="minorHAnsi" w:eastAsiaTheme="minorHAnsi" w:hAnsiTheme="minorHAnsi" w:cs="Times New Roman"/>
          <w:sz w:val="28"/>
          <w:szCs w:val="28"/>
          <w:lang w:eastAsia="en-US"/>
        </w:rPr>
      </w:pPr>
    </w:p>
    <w:p w:rsidR="005A694B" w:rsidRPr="005A694B" w:rsidRDefault="005A694B" w:rsidP="00D15772">
      <w:pPr>
        <w:pStyle w:val="1"/>
        <w:jc w:val="center"/>
        <w:rPr>
          <w:rFonts w:asciiTheme="minorHAnsi" w:eastAsiaTheme="minorHAnsi" w:hAnsiTheme="minorHAnsi" w:cs="Times New Roman"/>
          <w:sz w:val="28"/>
          <w:szCs w:val="28"/>
          <w:lang w:eastAsia="en-US"/>
        </w:rPr>
      </w:pPr>
      <w:r w:rsidRPr="005A694B">
        <w:rPr>
          <w:rFonts w:asciiTheme="minorHAnsi" w:eastAsiaTheme="minorHAnsi" w:hAnsiTheme="minorHAnsi" w:cs="Times New Roman"/>
          <w:b/>
          <w:sz w:val="28"/>
          <w:szCs w:val="28"/>
          <w:lang w:eastAsia="en-US"/>
        </w:rPr>
        <w:t>Лучшие международные практики</w:t>
      </w:r>
    </w:p>
    <w:p w:rsidR="005A694B" w:rsidRPr="005A694B" w:rsidRDefault="005A694B" w:rsidP="00D15772">
      <w:pPr>
        <w:pStyle w:val="1"/>
        <w:ind w:firstLine="709"/>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 xml:space="preserve">Модель «государственного» кадастрового инженера в качестве основной применяется в развитых странах, в том числе с совмещением с частным рынком кадастровых работ. Например, в Швеции и Финляндии  процесс кадастрового </w:t>
      </w:r>
      <w:r w:rsidRPr="005A694B">
        <w:rPr>
          <w:rFonts w:asciiTheme="minorHAnsi" w:eastAsiaTheme="minorHAnsi" w:hAnsiTheme="minorHAnsi" w:cs="Times New Roman"/>
          <w:sz w:val="28"/>
          <w:szCs w:val="28"/>
          <w:lang w:eastAsia="en-US"/>
        </w:rPr>
        <w:lastRenderedPageBreak/>
        <w:t>учета и регистрации прав является государственной функцией. Аналогичная ситуация в Норвегии, где функции кадастровых инженеров выполняют сотрудники муниципалитетов.</w:t>
      </w:r>
    </w:p>
    <w:p w:rsidR="005A694B" w:rsidRPr="005A694B" w:rsidRDefault="005A694B" w:rsidP="00D15772">
      <w:pPr>
        <w:pStyle w:val="1"/>
        <w:ind w:firstLine="851"/>
        <w:jc w:val="both"/>
        <w:rPr>
          <w:rFonts w:asciiTheme="minorHAnsi" w:eastAsiaTheme="minorHAnsi" w:hAnsiTheme="minorHAnsi" w:cs="Times New Roman"/>
          <w:sz w:val="28"/>
          <w:szCs w:val="28"/>
          <w:lang w:eastAsia="en-US"/>
        </w:rPr>
      </w:pPr>
      <w:r w:rsidRPr="005A694B">
        <w:rPr>
          <w:rFonts w:asciiTheme="minorHAnsi" w:eastAsiaTheme="minorHAnsi" w:hAnsiTheme="minorHAnsi" w:cs="Times New Roman"/>
          <w:sz w:val="28"/>
          <w:szCs w:val="28"/>
          <w:lang w:eastAsia="en-US"/>
        </w:rPr>
        <w:t>В Белоруссии государственные кадастровые инженеры составляют 90%. В Литве и Нидерландах государственные и частные кадастровые инженеры раб</w:t>
      </w:r>
      <w:r w:rsidR="00A0115E">
        <w:rPr>
          <w:rFonts w:asciiTheme="minorHAnsi" w:eastAsiaTheme="minorHAnsi" w:hAnsiTheme="minorHAnsi" w:cs="Times New Roman"/>
          <w:sz w:val="28"/>
          <w:szCs w:val="28"/>
          <w:lang w:eastAsia="en-US"/>
        </w:rPr>
        <w:t>отают в партнёрстве</w:t>
      </w:r>
      <w:r w:rsidR="007D487D">
        <w:rPr>
          <w:rFonts w:asciiTheme="minorHAnsi" w:eastAsiaTheme="minorHAnsi" w:hAnsiTheme="minorHAnsi" w:cs="Times New Roman"/>
          <w:sz w:val="28"/>
          <w:szCs w:val="28"/>
          <w:lang w:eastAsia="en-US"/>
        </w:rPr>
        <w:t>.</w:t>
      </w:r>
    </w:p>
    <w:p w:rsidR="00657FEE" w:rsidRDefault="00657FEE" w:rsidP="00D15772">
      <w:pPr>
        <w:spacing w:line="276" w:lineRule="auto"/>
        <w:ind w:firstLine="709"/>
        <w:jc w:val="both"/>
        <w:rPr>
          <w:rFonts w:asciiTheme="minorHAnsi" w:hAnsiTheme="minorHAnsi" w:cs="Times New Roman"/>
          <w:sz w:val="28"/>
          <w:szCs w:val="28"/>
        </w:rPr>
      </w:pPr>
      <w:r>
        <w:rPr>
          <w:rFonts w:asciiTheme="minorHAnsi" w:hAnsiTheme="minorHAnsi" w:cs="Times New Roman"/>
          <w:noProof/>
          <w:sz w:val="28"/>
          <w:szCs w:val="28"/>
        </w:rPr>
        <w:drawing>
          <wp:anchor distT="0" distB="0" distL="114300" distR="114300" simplePos="0" relativeHeight="251660288" behindDoc="1" locked="0" layoutInCell="1" allowOverlap="1" wp14:anchorId="60B28F85">
            <wp:simplePos x="0" y="0"/>
            <wp:positionH relativeFrom="column">
              <wp:posOffset>0</wp:posOffset>
            </wp:positionH>
            <wp:positionV relativeFrom="paragraph">
              <wp:posOffset>-635</wp:posOffset>
            </wp:positionV>
            <wp:extent cx="5962650" cy="36830"/>
            <wp:effectExtent l="0" t="0" r="0" b="127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2650" cy="36830"/>
                    </a:xfrm>
                    <a:prstGeom prst="rect">
                      <a:avLst/>
                    </a:prstGeom>
                    <a:noFill/>
                  </pic:spPr>
                </pic:pic>
              </a:graphicData>
            </a:graphic>
            <wp14:sizeRelH relativeFrom="page">
              <wp14:pctWidth>0</wp14:pctWidth>
            </wp14:sizeRelH>
            <wp14:sizeRelV relativeFrom="page">
              <wp14:pctHeight>0</wp14:pctHeight>
            </wp14:sizeRelV>
          </wp:anchor>
        </w:drawing>
      </w:r>
    </w:p>
    <w:p w:rsidR="00657FEE" w:rsidRPr="00657FEE" w:rsidRDefault="00657FEE" w:rsidP="00D15772">
      <w:pPr>
        <w:spacing w:line="276" w:lineRule="auto"/>
        <w:jc w:val="both"/>
        <w:rPr>
          <w:rFonts w:asciiTheme="minorHAnsi" w:hAnsiTheme="minorHAnsi" w:cs="Times New Roman"/>
          <w:sz w:val="18"/>
          <w:szCs w:val="18"/>
        </w:rPr>
      </w:pPr>
      <w:r w:rsidRPr="00657FEE">
        <w:rPr>
          <w:rFonts w:asciiTheme="minorHAnsi" w:hAnsiTheme="minorHAnsi" w:cs="Times New Roman"/>
          <w:sz w:val="18"/>
          <w:szCs w:val="18"/>
        </w:rPr>
        <w:t>О Росреестре</w:t>
      </w:r>
    </w:p>
    <w:p w:rsidR="00657FEE" w:rsidRDefault="00657FEE" w:rsidP="00657FEE">
      <w:pPr>
        <w:spacing w:line="276" w:lineRule="auto"/>
        <w:jc w:val="both"/>
        <w:rPr>
          <w:rFonts w:asciiTheme="minorHAnsi" w:hAnsiTheme="minorHAnsi" w:cs="Times New Roman"/>
          <w:sz w:val="18"/>
          <w:szCs w:val="18"/>
        </w:rPr>
      </w:pPr>
      <w:r w:rsidRPr="00657FEE">
        <w:rPr>
          <w:rFonts w:asciiTheme="minorHAnsi" w:hAnsiTheme="minorHAnsi" w:cs="Times New Roman"/>
          <w:sz w:val="18"/>
          <w:szCs w:val="18"/>
        </w:rPr>
        <w:t>Управление Федеральной службы государственной регистрации, кадастра и картографии (Росреестр) по Кировской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землеустройства, государственного мониторинга земель, а также функции по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организации работы Комиссии по оспариванию кадастровой стоимости объектов недвижимости. Осуществляет контроль за деятельностью подведомственного учреждения Росреестра – филиала ФГБУ «ФКП Росреестра» по Кировской области по предоставлению государственных услуг Росреестра. Руководитель Управления Росреестра по Кировской области – Елена Сорокина.</w:t>
      </w:r>
    </w:p>
    <w:p w:rsidR="00657FEE" w:rsidRPr="00657FEE" w:rsidRDefault="00657FEE" w:rsidP="00657FEE">
      <w:pPr>
        <w:spacing w:line="276" w:lineRule="auto"/>
        <w:jc w:val="both"/>
        <w:rPr>
          <w:rFonts w:asciiTheme="minorHAnsi" w:hAnsiTheme="minorHAnsi" w:cs="Times New Roman"/>
          <w:sz w:val="18"/>
          <w:szCs w:val="18"/>
        </w:rPr>
      </w:pPr>
    </w:p>
    <w:p w:rsidR="00657FEE" w:rsidRPr="00657FEE" w:rsidRDefault="00657FEE" w:rsidP="00657FEE">
      <w:pPr>
        <w:pStyle w:val="20"/>
        <w:rPr>
          <w:rFonts w:asciiTheme="minorHAnsi" w:hAnsiTheme="minorHAnsi" w:cs="Times New Roman"/>
          <w:sz w:val="28"/>
          <w:szCs w:val="28"/>
        </w:rPr>
      </w:pPr>
      <w:r>
        <w:rPr>
          <w:rFonts w:asciiTheme="minorHAnsi" w:hAnsiTheme="minorHAnsi" w:cs="Times New Roman"/>
          <w:noProof/>
          <w:sz w:val="28"/>
          <w:szCs w:val="28"/>
        </w:rPr>
        <w:drawing>
          <wp:anchor distT="0" distB="0" distL="114300" distR="114300" simplePos="0" relativeHeight="251659264" behindDoc="1" locked="0" layoutInCell="1" allowOverlap="1" wp14:anchorId="58BDEC03" wp14:editId="09141944">
            <wp:simplePos x="0" y="0"/>
            <wp:positionH relativeFrom="column">
              <wp:posOffset>0</wp:posOffset>
            </wp:positionH>
            <wp:positionV relativeFrom="paragraph">
              <wp:posOffset>0</wp:posOffset>
            </wp:positionV>
            <wp:extent cx="5962015" cy="38100"/>
            <wp:effectExtent l="0" t="0" r="635"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2015" cy="38100"/>
                    </a:xfrm>
                    <a:prstGeom prst="rect">
                      <a:avLst/>
                    </a:prstGeom>
                    <a:noFill/>
                  </pic:spPr>
                </pic:pic>
              </a:graphicData>
            </a:graphic>
            <wp14:sizeRelH relativeFrom="page">
              <wp14:pctWidth>0</wp14:pctWidth>
            </wp14:sizeRelH>
            <wp14:sizeRelV relativeFrom="page">
              <wp14:pctHeight>0</wp14:pctHeight>
            </wp14:sizeRelV>
          </wp:anchor>
        </w:drawing>
      </w:r>
    </w:p>
    <w:p w:rsidR="003079B4" w:rsidRPr="00657FEE" w:rsidRDefault="003079B4" w:rsidP="00657FEE">
      <w:pPr>
        <w:pStyle w:val="20"/>
        <w:shd w:val="clear" w:color="auto" w:fill="auto"/>
        <w:spacing w:before="0" w:line="240" w:lineRule="auto"/>
        <w:ind w:left="-567" w:firstLine="709"/>
        <w:jc w:val="both"/>
        <w:rPr>
          <w:rFonts w:asciiTheme="minorHAnsi" w:hAnsiTheme="minorHAnsi" w:cs="Times New Roman"/>
          <w:sz w:val="18"/>
          <w:szCs w:val="18"/>
        </w:rPr>
      </w:pPr>
    </w:p>
    <w:sectPr w:rsidR="003079B4" w:rsidRPr="00657FEE" w:rsidSect="00254E3F">
      <w:pgSz w:w="11906" w:h="16838"/>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5D6" w:rsidRDefault="00D935D6">
      <w:r>
        <w:separator/>
      </w:r>
    </w:p>
  </w:endnote>
  <w:endnote w:type="continuationSeparator" w:id="0">
    <w:p w:rsidR="00D935D6" w:rsidRDefault="00D93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5D6" w:rsidRDefault="00D935D6"/>
  </w:footnote>
  <w:footnote w:type="continuationSeparator" w:id="0">
    <w:p w:rsidR="00D935D6" w:rsidRDefault="00D935D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9B4"/>
    <w:rsid w:val="000066AA"/>
    <w:rsid w:val="000E2469"/>
    <w:rsid w:val="00210A75"/>
    <w:rsid w:val="00254E3F"/>
    <w:rsid w:val="003079B4"/>
    <w:rsid w:val="0048639B"/>
    <w:rsid w:val="004C77B1"/>
    <w:rsid w:val="00516E6F"/>
    <w:rsid w:val="005A694B"/>
    <w:rsid w:val="005F20AF"/>
    <w:rsid w:val="00657FEE"/>
    <w:rsid w:val="007022A0"/>
    <w:rsid w:val="007B03F0"/>
    <w:rsid w:val="007D487D"/>
    <w:rsid w:val="007F237D"/>
    <w:rsid w:val="009510F1"/>
    <w:rsid w:val="009C18A6"/>
    <w:rsid w:val="009F5D22"/>
    <w:rsid w:val="00A0115E"/>
    <w:rsid w:val="00A9792C"/>
    <w:rsid w:val="00AB5A39"/>
    <w:rsid w:val="00B12027"/>
    <w:rsid w:val="00B25B01"/>
    <w:rsid w:val="00BE5F0A"/>
    <w:rsid w:val="00C35C5B"/>
    <w:rsid w:val="00D15772"/>
    <w:rsid w:val="00D508D5"/>
    <w:rsid w:val="00D935D6"/>
    <w:rsid w:val="00DD34E4"/>
    <w:rsid w:val="00DF2534"/>
    <w:rsid w:val="00E41686"/>
    <w:rsid w:val="00E535F3"/>
    <w:rsid w:val="00E873F6"/>
    <w:rsid w:val="00EF63E3"/>
    <w:rsid w:val="00FC272D"/>
    <w:rsid w:val="00FD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BC53E"/>
  <w15:docId w15:val="{660F273E-D8C6-4946-9D6D-CE0F0EB30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Calibri" w:eastAsia="Calibri" w:hAnsi="Calibri" w:cs="Calibri"/>
      <w:b w:val="0"/>
      <w:bCs w:val="0"/>
      <w:i w:val="0"/>
      <w:iCs w:val="0"/>
      <w:smallCaps w:val="0"/>
      <w:strike w:val="0"/>
      <w:spacing w:val="-6"/>
      <w:sz w:val="29"/>
      <w:szCs w:val="29"/>
      <w:u w:val="none"/>
    </w:rPr>
  </w:style>
  <w:style w:type="character" w:customStyle="1" w:styleId="2">
    <w:name w:val="Основной текст (2)_"/>
    <w:basedOn w:val="a0"/>
    <w:link w:val="20"/>
    <w:rPr>
      <w:rFonts w:ascii="Calibri" w:eastAsia="Calibri" w:hAnsi="Calibri" w:cs="Calibri"/>
      <w:b w:val="0"/>
      <w:bCs w:val="0"/>
      <w:i/>
      <w:iCs/>
      <w:smallCaps w:val="0"/>
      <w:strike w:val="0"/>
      <w:spacing w:val="-8"/>
      <w:sz w:val="29"/>
      <w:szCs w:val="29"/>
      <w:u w:val="none"/>
    </w:rPr>
  </w:style>
  <w:style w:type="character" w:customStyle="1" w:styleId="20pt">
    <w:name w:val="Основной текст (2) + Не курсив;Интервал 0 pt"/>
    <w:basedOn w:val="2"/>
    <w:rPr>
      <w:rFonts w:ascii="Calibri" w:eastAsia="Calibri" w:hAnsi="Calibri" w:cs="Calibri"/>
      <w:b w:val="0"/>
      <w:bCs w:val="0"/>
      <w:i/>
      <w:iCs/>
      <w:smallCaps w:val="0"/>
      <w:strike w:val="0"/>
      <w:color w:val="000000"/>
      <w:spacing w:val="-6"/>
      <w:w w:val="100"/>
      <w:position w:val="0"/>
      <w:sz w:val="29"/>
      <w:szCs w:val="29"/>
      <w:u w:val="none"/>
      <w:lang w:val="ru-RU"/>
    </w:rPr>
  </w:style>
  <w:style w:type="paragraph" w:customStyle="1" w:styleId="1">
    <w:name w:val="Основной текст1"/>
    <w:basedOn w:val="a"/>
    <w:link w:val="a4"/>
    <w:pPr>
      <w:shd w:val="clear" w:color="auto" w:fill="FFFFFF"/>
      <w:spacing w:after="120" w:line="0" w:lineRule="atLeast"/>
      <w:jc w:val="right"/>
    </w:pPr>
    <w:rPr>
      <w:rFonts w:ascii="Calibri" w:eastAsia="Calibri" w:hAnsi="Calibri" w:cs="Calibri"/>
      <w:spacing w:val="-6"/>
      <w:sz w:val="29"/>
      <w:szCs w:val="29"/>
    </w:rPr>
  </w:style>
  <w:style w:type="paragraph" w:customStyle="1" w:styleId="20">
    <w:name w:val="Основной текст (2)"/>
    <w:basedOn w:val="a"/>
    <w:link w:val="2"/>
    <w:pPr>
      <w:shd w:val="clear" w:color="auto" w:fill="FFFFFF"/>
      <w:spacing w:before="840" w:after="120" w:line="0" w:lineRule="atLeast"/>
    </w:pPr>
    <w:rPr>
      <w:rFonts w:ascii="Calibri" w:eastAsia="Calibri" w:hAnsi="Calibri" w:cs="Calibri"/>
      <w:i/>
      <w:iCs/>
      <w:spacing w:val="-8"/>
      <w:sz w:val="29"/>
      <w:szCs w:val="29"/>
    </w:rPr>
  </w:style>
  <w:style w:type="paragraph" w:styleId="a5">
    <w:name w:val="Balloon Text"/>
    <w:basedOn w:val="a"/>
    <w:link w:val="a6"/>
    <w:uiPriority w:val="99"/>
    <w:semiHidden/>
    <w:unhideWhenUsed/>
    <w:rsid w:val="004C77B1"/>
    <w:rPr>
      <w:rFonts w:ascii="Segoe UI" w:hAnsi="Segoe UI" w:cs="Segoe UI"/>
      <w:sz w:val="18"/>
      <w:szCs w:val="18"/>
    </w:rPr>
  </w:style>
  <w:style w:type="character" w:customStyle="1" w:styleId="a6">
    <w:name w:val="Текст выноски Знак"/>
    <w:basedOn w:val="a0"/>
    <w:link w:val="a5"/>
    <w:uiPriority w:val="99"/>
    <w:semiHidden/>
    <w:rsid w:val="004C77B1"/>
    <w:rPr>
      <w:rFonts w:ascii="Segoe UI" w:hAnsi="Segoe UI" w:cs="Segoe UI"/>
      <w:color w:val="000000"/>
      <w:sz w:val="18"/>
      <w:szCs w:val="18"/>
    </w:rPr>
  </w:style>
  <w:style w:type="character" w:styleId="a7">
    <w:name w:val="FollowedHyperlink"/>
    <w:basedOn w:val="a0"/>
    <w:uiPriority w:val="99"/>
    <w:semiHidden/>
    <w:unhideWhenUsed/>
    <w:rsid w:val="005F20AF"/>
    <w:rPr>
      <w:color w:val="954F72" w:themeColor="followedHyperlink"/>
      <w:u w:val="single"/>
    </w:rPr>
  </w:style>
  <w:style w:type="paragraph" w:customStyle="1" w:styleId="Default">
    <w:name w:val="Default"/>
    <w:rsid w:val="00657FEE"/>
    <w:pPr>
      <w:widowControl/>
      <w:autoSpaceDE w:val="0"/>
      <w:autoSpaceDN w:val="0"/>
      <w:adjustRightInd w:val="0"/>
    </w:pPr>
    <w:rPr>
      <w:rFonts w:ascii="Segoe UI" w:eastAsiaTheme="minorHAnsi" w:hAnsi="Segoe UI" w:cs="Segoe U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8462-5398-47BE-B6EF-C9C265696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821</Words>
  <Characters>4683</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Верхорубов Александр Иванович</dc:creator>
  <cp:lastModifiedBy>Устюжанинова Татьяна Николаевна</cp:lastModifiedBy>
  <cp:revision>22</cp:revision>
  <cp:lastPrinted>2020-06-08T11:25:00Z</cp:lastPrinted>
  <dcterms:created xsi:type="dcterms:W3CDTF">2020-06-08T11:16:00Z</dcterms:created>
  <dcterms:modified xsi:type="dcterms:W3CDTF">2020-06-25T11:31:00Z</dcterms:modified>
</cp:coreProperties>
</file>