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  <w:tblInd w:type="dxa" w:w="-108"/>
      </w:tblPr>
      <w:tblGrid>
        <w:gridCol w:w="4860"/>
        <w:gridCol w:w="3210"/>
      </w:tblGrid>
      <w:tr>
        <w:trPr>
          <w:trHeight w:hRule="atLeast" w:val="514"/>
          <w:cantSplit w:val="false"/>
        </w:trPr>
        <w:tc>
          <w:tcPr>
            <w:tcW w:type="dxa" w:w="486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type="dxa" w:w="3210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                     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Приложение 1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486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type="dxa" w:w="3210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к решению                  Большекитякской сельской Думы</w:t>
            </w:r>
          </w:p>
        </w:tc>
      </w:tr>
      <w:tr>
        <w:trPr>
          <w:trHeight w:hRule="atLeast" w:val="327"/>
          <w:cantSplit w:val="false"/>
        </w:trPr>
        <w:tc>
          <w:tcPr>
            <w:tcW w:type="dxa" w:w="486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 CYR" w:cs="Arial CYR" w:eastAsia="Times New Roman" w:hAnsi="Arial CYR"/>
                <w:color w:val="000000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type="dxa" w:w="3210"/>
            <w:gridSpan w:val="2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 w:val="false"/>
                <w:bCs w:val="false"/>
                <w:sz w:val="28"/>
                <w:szCs w:val="28"/>
                <w:lang w:eastAsia="ru-RU"/>
              </w:rPr>
              <w:t>от 25.04.2019г    № 5</w:t>
            </w:r>
          </w:p>
        </w:tc>
      </w:tr>
      <w:tr>
        <w:trPr>
          <w:trHeight w:hRule="atLeast" w:val="473"/>
          <w:cantSplit w:val="false"/>
        </w:trPr>
        <w:tc>
          <w:tcPr>
            <w:tcW w:type="dxa" w:w="4860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/>
            </w:r>
          </w:p>
        </w:tc>
      </w:tr>
      <w:tr>
        <w:trPr>
          <w:trHeight w:hRule="atLeast" w:val="82"/>
          <w:cantSplit w:val="false"/>
        </w:trPr>
        <w:tc>
          <w:tcPr>
            <w:tcW w:type="dxa" w:w="4860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/>
            </w:r>
          </w:p>
        </w:tc>
      </w:tr>
      <w:tr>
        <w:trPr>
          <w:trHeight w:hRule="atLeast" w:val="855"/>
          <w:cantSplit w:val="false"/>
        </w:trPr>
        <w:tc>
          <w:tcPr>
            <w:tcW w:type="dxa" w:w="4860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Доходы бюджета поселения за 2018 год по кодам  классификации доходов бюджетов  </w:t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4860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hRule="atLeast" w:val="282"/>
          <w:cantSplit w:val="false"/>
        </w:trPr>
        <w:tc>
          <w:tcPr>
            <w:tcW w:type="dxa" w:w="4860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>
        <w:trPr>
          <w:trHeight w:hRule="atLeast" w:val="819"/>
          <w:cantSplit w:val="false"/>
        </w:trPr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type="dxa" w:w="321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type="dxa" w:w="136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рублей)314</w:t>
            </w:r>
          </w:p>
        </w:tc>
      </w:tr>
      <w:tr>
        <w:trPr>
          <w:trHeight w:hRule="atLeast" w:val="276"/>
          <w:cantSplit w:val="false"/>
        </w:trPr>
        <w:tc>
          <w:tcPr>
            <w:tcW w:type="dxa" w:w="486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321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3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486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321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36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4860"/>
            <w:tcBorders>
              <w:left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type="dxa" w:w="3210"/>
            <w:tcBorders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type="dxa" w:w="1365"/>
            <w:tcBorders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hRule="atLeast" w:val="345"/>
          <w:cantSplit w:val="false"/>
        </w:trPr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type="dxa" w:w="3210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type="dxa" w:w="136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3145,6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314,7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/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314,7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>
        <w:trPr>
          <w:trHeight w:hRule="atLeast" w:val="153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204,6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-31,4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762,1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762,1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152,2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152,2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bookmarkStart w:id="0" w:name="__DdeLink__982_1943166126"/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bookmarkEnd w:id="0"/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142,3</w:t>
            </w:r>
          </w:p>
        </w:tc>
      </w:tr>
      <w:tr>
        <w:trPr>
          <w:trHeight w:hRule="atLeast" w:val="127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182 1 01 02020 01 0000 110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609,9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взымаемый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124,5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182 1 06 06043 10 0000 110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hanging="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администрация Большекитякского сельского поселения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2068,8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973 1 08 00000 00 0000 000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973 1 08 04020 01 0000 110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973 1 17 00000 00 0000 000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154,0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 зачисляемые в бюджеты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973 1 17 14030 10 0000 180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154,0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973 2 00 00000 00 0000 000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1908,2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973 2 02 00000 00 0000 000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1653,8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973 2 02 10000 00 0000 151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973 2 02 15001 00 0000 151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973 2 02 15001 10 0000 151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973 2 02 30000 00 0000 151 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>
        <w:trPr>
          <w:trHeight w:hRule="atLeast" w:val="76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973 2 02 35118 00 0000 151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>
        <w:trPr>
          <w:trHeight w:hRule="atLeast" w:val="765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973 2 02 30118 10 0000 151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72,8</w:t>
            </w:r>
          </w:p>
        </w:tc>
      </w:tr>
      <w:tr>
        <w:trPr>
          <w:trHeight w:hRule="atLeast" w:val="30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973 2 02 40000 00 0000 151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1404,6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973 2 02 40999 00 0000 151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1404,6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973 2 02 49999 10 0000 151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1404,6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/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973 2 07 00000 00 0000 000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254,4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32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973 2 07 05001 00 0000 180</w:t>
            </w:r>
          </w:p>
        </w:tc>
        <w:tc>
          <w:tcPr>
            <w:tcW w:type="dxa" w:w="136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254,4</w:t>
            </w:r>
          </w:p>
        </w:tc>
      </w:tr>
      <w:tr>
        <w:trPr>
          <w:trHeight w:hRule="atLeast" w:val="510"/>
          <w:cantSplit w:val="false"/>
        </w:trPr>
        <w:tc>
          <w:tcPr>
            <w:tcW w:type="dxa" w:w="4860"/>
            <w:tcBorders>
              <w:left w:color="00000A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ind w:firstLine="480" w:left="0" w:right="0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от денежных пожертвований. Предоставляемых физическими лицами получателям средств бюджетов сельских поселений</w:t>
            </w:r>
          </w:p>
        </w:tc>
        <w:tc>
          <w:tcPr>
            <w:tcW w:type="dxa" w:w="3210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973 2 07 05020 10 0000 180</w:t>
            </w:r>
          </w:p>
        </w:tc>
        <w:tc>
          <w:tcPr>
            <w:tcW w:type="dxa" w:w="1365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</w:rPr>
              <w:t>254,4</w:t>
            </w:r>
          </w:p>
        </w:tc>
      </w:tr>
    </w:tbl>
    <w:p>
      <w:pPr>
        <w:pStyle w:val="style0"/>
        <w:widowControl/>
        <w:tabs>
          <w:tab w:leader="none" w:pos="708" w:val="left"/>
        </w:tabs>
        <w:suppressAutoHyphens w:val="true"/>
        <w:spacing w:after="200" w:before="0" w:line="276" w:lineRule="auto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Arial Unicode MS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hAnsi="Tahoma"/>
      <w:sz w:val="16"/>
      <w:szCs w:val="16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23" w:type="paragraph">
    <w:name w:val="Содержимое таблицы"/>
    <w:basedOn w:val="style0"/>
    <w:next w:val="style23"/>
    <w:pPr>
      <w:suppressLineNumbers/>
    </w:pPr>
    <w:rPr/>
  </w:style>
  <w:style w:styleId="style24" w:type="paragraph">
    <w:name w:val="Заголовок таблицы"/>
    <w:basedOn w:val="style23"/>
    <w:next w:val="style24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2017-03-31T11:50:00.00Z</dcterms:created>
  <dc:creator>Владелец</dc:creator>
  <cp:lastModifiedBy>Владелец</cp:lastModifiedBy>
  <cp:lastPrinted>2019-04-25T08:32:53.35Z</cp:lastPrinted>
  <dcterms:modified xsi:type="dcterms:W3CDTF">2017-04-03T12:21:00.00Z</dcterms:modified>
  <cp:revision>4</cp:revision>
</cp:coreProperties>
</file>