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34"/>
        <w:jc w:val="left"/>
      </w:pPr>
      <w:r>
        <w:rPr>
          <w:szCs w:val="28"/>
        </w:rPr>
        <w:t xml:space="preserve">Пояснительная записка </w:t>
      </w:r>
    </w:p>
    <w:p>
      <w:pPr>
        <w:pStyle w:val="style34"/>
      </w:pPr>
      <w:r>
        <w:rPr>
          <w:szCs w:val="28"/>
        </w:rPr>
        <w:t>к прогнозу социально - экономического развития</w:t>
        <w:br/>
        <w:t>муниципального  образования Большекитякское сельское поселение Малмыжского района Кировской  области</w:t>
      </w:r>
    </w:p>
    <w:p>
      <w:pPr>
        <w:pStyle w:val="style34"/>
      </w:pPr>
      <w:r>
        <w:rPr>
          <w:szCs w:val="28"/>
        </w:rPr>
        <w:t xml:space="preserve"> </w:t>
      </w:r>
      <w:r>
        <w:rPr>
          <w:szCs w:val="28"/>
        </w:rPr>
        <w:t>на 2021 год и на период до 2023 года</w:t>
        <w:br/>
      </w:r>
    </w:p>
    <w:p>
      <w:pPr>
        <w:pStyle w:val="style0"/>
        <w:spacing w:line="252" w:lineRule="auto"/>
        <w:ind w:firstLine="540" w:left="0" w:right="0"/>
        <w:jc w:val="both"/>
      </w:pPr>
      <w:r>
        <w:rPr>
          <w:sz w:val="24"/>
          <w:szCs w:val="24"/>
        </w:rPr>
        <w:t xml:space="preserve">Прогноз муниципального образования Большекитякское сельское поселение Малмыжского района Кировской области на 2021 год и плановый период 2022 и 2023 года разрабатывается в целях повышения эффективности управления социально-экономическими процессами в муниципальном образовании. </w:t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 xml:space="preserve">Основные показатели разрабатываемого прогноза развития муниципального образования служат исходной базой для разработки проекта бюджета муниципального образования. </w:t>
      </w:r>
    </w:p>
    <w:p>
      <w:pPr>
        <w:pStyle w:val="style0"/>
        <w:ind w:firstLine="540" w:left="0" w:right="0"/>
        <w:jc w:val="both"/>
      </w:pPr>
      <w:bookmarkStart w:id="0" w:name="_Toc152557187"/>
      <w:bookmarkEnd w:id="0"/>
      <w:r>
        <w:rPr>
          <w:sz w:val="24"/>
          <w:szCs w:val="24"/>
        </w:rPr>
        <w:t>Прогноз подготовлен на основе сценарных условий функционирования экономики Российской Федерации на 2021-2023 годы, рекомендованных Минэкономразвития России, анализа сложившейся ситуации социально-экономического развития муниципального образования Большекитякское сельское поселение с учетом оценки ожидаемых результатов 2020 года и тенденций развития экономики и социальной сферы в 2022-2023 годах с применением показателей инфляции и индексов-дефляторов, предложенных Минэкономразвития России на 2022 - 2023 годы.</w:t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 xml:space="preserve">При разработке основных параметров прогноза использованы отчетные данные и материалы   средних хозяйствующих субъектов. </w:t>
      </w:r>
    </w:p>
    <w:p>
      <w:pPr>
        <w:pStyle w:val="style0"/>
        <w:ind w:firstLine="567" w:left="0" w:right="0"/>
      </w:pPr>
      <w:bookmarkStart w:id="1" w:name="_Toc1525571871"/>
      <w:bookmarkStart w:id="2" w:name="_Toc1525571871"/>
      <w:bookmarkEnd w:id="2"/>
      <w:r>
        <w:rPr/>
      </w:r>
    </w:p>
    <w:p>
      <w:pPr>
        <w:pStyle w:val="style0"/>
        <w:jc w:val="center"/>
      </w:pPr>
      <w:r>
        <w:rPr>
          <w:sz w:val="24"/>
          <w:szCs w:val="24"/>
        </w:rPr>
        <w:t>ОСНОВНЫЕ ТЕНДЕНЦИИ ПРЕДЫДУЩЕГО ПЕРИОДА</w:t>
      </w:r>
    </w:p>
    <w:p>
      <w:pPr>
        <w:pStyle w:val="style0"/>
        <w:ind w:firstLine="567" w:left="0" w:right="0"/>
      </w:pPr>
      <w:r>
        <w:rPr/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В 2019 году в  социально-экономическом развитии Большекитякское сельского поселения достигнуты следующие показатели:</w:t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 xml:space="preserve">Среднегодовая численность постоянного населения Большекитякское сельского поселения на 01.01.2019 года составляет 1048 человек, что  на 4 человека меньшеьше, чем в 2018году. Численность постоянного населения за 2019 год составил 905 человек. </w:t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>Трудоспособное население в трудоспособном возрасте, расположенным на территории Большекитякского сельского поселения, составила 426 человека, что на 10 человека меньше по сравнению с 2018 годом. Численность занятого населения в организациях за 2019 год составил 110 человек.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 xml:space="preserve">За 2019 год в доходную часть бюджета МО Большекитякское сельское поселение поступило 3043,3 тыс . руб., что на 3 % меньше суммы доходов, полученных в 2018 году. Поступления в бюджет Большекитякского сельского поселения налоговых и неналоговых доходов составили  1173,8 тыс.руб., Размер поступлений от других бюджетов бюджетной системы РФ за 2019 год составил   1698,5 тыс. руб. </w:t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 xml:space="preserve">Расходная часть бюджета за 2019 год исполнена в сумме 3127,7 тыс. руб., что на 18,6 % больше, чем в 2018 году. </w:t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>Численность безработных в 2019 году по сравнению с 2018 годом снизилась на 1 человека .</w:t>
      </w:r>
    </w:p>
    <w:p>
      <w:pPr>
        <w:pStyle w:val="style0"/>
        <w:jc w:val="both"/>
      </w:pPr>
      <w:r>
        <w:rPr/>
      </w:r>
    </w:p>
    <w:p>
      <w:pPr>
        <w:pStyle w:val="style0"/>
        <w:ind w:firstLine="540" w:left="0" w:right="0"/>
        <w:jc w:val="both"/>
      </w:pPr>
      <w:r>
        <w:rPr/>
      </w:r>
    </w:p>
    <w:p>
      <w:pPr>
        <w:pStyle w:val="style65"/>
        <w:spacing w:after="0" w:before="0" w:line="228" w:lineRule="auto"/>
        <w:jc w:val="center"/>
      </w:pPr>
      <w:r>
        <w:rPr/>
      </w:r>
    </w:p>
    <w:p>
      <w:pPr>
        <w:pStyle w:val="style65"/>
        <w:spacing w:after="0" w:before="0" w:line="228" w:lineRule="auto"/>
        <w:jc w:val="center"/>
      </w:pPr>
      <w:r>
        <w:rPr>
          <w:sz w:val="24"/>
          <w:szCs w:val="24"/>
        </w:rPr>
        <w:t>ОСНОВНЫЕ ТЕНДЕНЦИИ СОЦИАЛЬНО-ЭКОНОМИЧЕСКОГО РАЗВИТИЯ  МУНИЦИПАЛЬНОГО ОБРАЗОВАНИЯ БОЛЬШЕКИТЯКСКОЕ СЕЛЬСКОЕ ПОСЕЛЕНИЕ</w:t>
      </w:r>
    </w:p>
    <w:p>
      <w:pPr>
        <w:pStyle w:val="style65"/>
        <w:spacing w:after="0" w:before="0" w:line="228" w:lineRule="auto"/>
        <w:jc w:val="center"/>
      </w:pPr>
      <w:r>
        <w:rPr>
          <w:sz w:val="24"/>
          <w:szCs w:val="24"/>
        </w:rPr>
        <w:t xml:space="preserve">НА ПЕРИОД 2020-2022 ГОДА       </w:t>
      </w:r>
    </w:p>
    <w:p>
      <w:pPr>
        <w:pStyle w:val="style65"/>
        <w:spacing w:after="0" w:before="0" w:line="228" w:lineRule="auto"/>
        <w:jc w:val="center"/>
      </w:pPr>
      <w:r>
        <w:rPr>
          <w:b/>
          <w:sz w:val="24"/>
          <w:szCs w:val="24"/>
          <w:u w:val="single"/>
        </w:rPr>
        <w:t xml:space="preserve">                                                     </w:t>
      </w:r>
    </w:p>
    <w:p>
      <w:pPr>
        <w:pStyle w:val="style0"/>
        <w:ind w:firstLine="567" w:left="0" w:right="0"/>
        <w:jc w:val="both"/>
      </w:pPr>
      <w:r>
        <w:rPr>
          <w:sz w:val="24"/>
          <w:szCs w:val="24"/>
        </w:rPr>
        <w:t>Основные приоритеты социально-экономического развития в среднесрочной перспективе:</w:t>
      </w:r>
    </w:p>
    <w:p>
      <w:pPr>
        <w:pStyle w:val="style46"/>
      </w:pPr>
      <w:r>
        <w:rPr>
          <w:sz w:val="24"/>
          <w:szCs w:val="24"/>
        </w:rPr>
        <w:t>Улучшение условий проживания, стабилизация  демографической ситуации путем повышения рождаемости, увеличение продолжительности жизни населения;</w:t>
      </w:r>
    </w:p>
    <w:p>
      <w:pPr>
        <w:pStyle w:val="style46"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Создание условий для комфортного проживания населения путем реализации мероприятий по благоустройству территории села. </w:t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>Обеспечение  занятости населения, сохранение и создание рабочих мест;</w:t>
      </w:r>
    </w:p>
    <w:p>
      <w:pPr>
        <w:pStyle w:val="style0"/>
        <w:ind w:firstLine="540" w:left="0" w:right="-1"/>
        <w:jc w:val="both"/>
      </w:pPr>
      <w:r>
        <w:rPr>
          <w:sz w:val="24"/>
          <w:szCs w:val="24"/>
        </w:rPr>
        <w:t xml:space="preserve">Развитие отраслей социальной сферы, повышение качества, доступности и разнообразия предоставляемых гражданам муниципальных услуг; </w:t>
      </w:r>
    </w:p>
    <w:p>
      <w:pPr>
        <w:pStyle w:val="style0"/>
        <w:ind w:firstLine="540" w:left="0" w:right="-1"/>
        <w:jc w:val="both"/>
      </w:pPr>
      <w:r>
        <w:rPr>
          <w:sz w:val="24"/>
          <w:szCs w:val="24"/>
        </w:rPr>
        <w:t>Организация культурного досуга и обеспечение населения муниципального образования  услугами культуры;</w:t>
      </w:r>
    </w:p>
    <w:p>
      <w:pPr>
        <w:pStyle w:val="style0"/>
        <w:ind w:firstLine="540" w:left="0" w:right="-1"/>
        <w:jc w:val="both"/>
      </w:pPr>
      <w:r>
        <w:rPr>
          <w:sz w:val="24"/>
          <w:szCs w:val="24"/>
        </w:rPr>
        <w:t>Повышение уровня физкультурно-оздоровительной и профилактической работы  с населением, пропаганда и поддержание здорового образа жизни;</w:t>
      </w:r>
    </w:p>
    <w:p>
      <w:pPr>
        <w:pStyle w:val="style0"/>
        <w:ind w:firstLine="540" w:left="0" w:right="-1"/>
        <w:jc w:val="both"/>
      </w:pPr>
      <w:r>
        <w:rPr>
          <w:sz w:val="24"/>
          <w:szCs w:val="24"/>
        </w:rPr>
        <w:t>Развитие работы с детьми и молодежью по месту жительства,   поддержка молодежного досуга и физического развития населения;</w:t>
      </w:r>
    </w:p>
    <w:p>
      <w:pPr>
        <w:pStyle w:val="style46"/>
      </w:pPr>
      <w:r>
        <w:rPr>
          <w:sz w:val="24"/>
          <w:szCs w:val="24"/>
        </w:rPr>
        <w:t>Экономия и рациональное использование топливно-энергетических ресурсов, разработка мер, стимулирующих энергосбережение и повышение энергетической эффективности .</w:t>
      </w:r>
    </w:p>
    <w:p>
      <w:pPr>
        <w:pStyle w:val="style46"/>
      </w:pPr>
      <w:r>
        <w:rPr/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>ФИНАНСЫ</w:t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 xml:space="preserve">Доходы бюджета Большекитякского поселения на 2019 год оцениваются в объеме 3043,3 тыс. руб. В структуре доходов собственные доходы (налоговые и неналоговые доходы) составят 1339,9 т. руб или 34,2 % от общей суммы доходов бюджета, безвозмездные поступления от других бюджетов бюджетной системы РФ и прочие доходы  -  1707,9 т. руб или 43,6%. </w:t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>Доходы бюджета Большекитякского сельского поселения на прогнозный период составят: в 2021 г. – 2995,7 тыс. руб., в 2022 г. – 2925,24 тыс. руб., в 2023 г. –2944,99тыс</w:t>
      </w:r>
      <w:bookmarkStart w:id="3" w:name="_GoBack"/>
      <w:bookmarkEnd w:id="3"/>
      <w:r>
        <w:rPr>
          <w:sz w:val="24"/>
          <w:szCs w:val="24"/>
        </w:rPr>
        <w:t xml:space="preserve">. руб. </w:t>
      </w:r>
    </w:p>
    <w:p>
      <w:pPr>
        <w:pStyle w:val="style0"/>
        <w:ind w:firstLine="540" w:left="0" w:right="0"/>
        <w:jc w:val="both"/>
      </w:pPr>
      <w:r>
        <w:rPr/>
      </w:r>
    </w:p>
    <w:p>
      <w:pPr>
        <w:pStyle w:val="style0"/>
        <w:jc w:val="center"/>
      </w:pPr>
      <w:r>
        <w:rPr>
          <w:b/>
          <w:sz w:val="24"/>
          <w:szCs w:val="24"/>
        </w:rPr>
        <w:t xml:space="preserve">Прогноз доходной части  бюджета Большекитякского сельского поселения </w:t>
      </w:r>
    </w:p>
    <w:p>
      <w:pPr>
        <w:pStyle w:val="style0"/>
        <w:jc w:val="center"/>
      </w:pPr>
      <w:r>
        <w:rPr>
          <w:b/>
          <w:sz w:val="24"/>
          <w:szCs w:val="24"/>
        </w:rPr>
        <w:t>на 2021 - 2023 года, тыс.руб.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</w:pPr>
      <w:r>
        <w:rPr>
          <w:sz w:val="24"/>
          <w:szCs w:val="24"/>
        </w:rPr>
        <w:t>1.Объемы поступления доходов бюджета поселения</w:t>
      </w:r>
    </w:p>
    <w:p>
      <w:pPr>
        <w:pStyle w:val="style0"/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sz w:val="24"/>
          <w:szCs w:val="24"/>
        </w:rPr>
        <w:t>(тыс.рублей)</w:t>
      </w:r>
    </w:p>
    <w:tbl>
      <w:tblPr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</w:tblBorders>
        <w:tblInd w:type="dxa" w:w="-108"/>
      </w:tblPr>
      <w:tblGrid>
        <w:gridCol w:w="4861"/>
        <w:gridCol w:w="937"/>
        <w:gridCol w:w="1093"/>
        <w:gridCol w:w="1132"/>
        <w:gridCol w:w="1028"/>
        <w:gridCol w:w="1063"/>
      </w:tblGrid>
      <w:tr>
        <w:trPr>
          <w:trHeight w:hRule="atLeast" w:val="720"/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Отчет 2019г</w:t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Оценка 2020г</w:t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прогноз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прогноз2022г</w:t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прогноз2023г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ДОХОДЫ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1344,8</w:t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1335,7</w:t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1333,7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1356,74</w:t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1378,09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153,5</w:t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145,3</w:t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147,6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153,64</w:t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162,39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Доходы от уплаты акцизов на автомобильный бензин,  прямогонный бензин, дизельное топливо, моторные масла для дизельных и карбюраторных (инжекторных) двигателей,   производимые на территории Российской Федерации</w:t>
            </w:r>
          </w:p>
        </w:tc>
        <w:tc>
          <w:tcPr>
            <w:tcW w:type="dxa" w:w="937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358,7</w:t>
            </w:r>
          </w:p>
        </w:tc>
        <w:tc>
          <w:tcPr>
            <w:tcW w:type="dxa" w:w="1093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370,8</w:t>
            </w:r>
          </w:p>
        </w:tc>
        <w:tc>
          <w:tcPr>
            <w:tcW w:type="dxa" w:w="1132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370,6</w:t>
            </w:r>
          </w:p>
        </w:tc>
        <w:tc>
          <w:tcPr>
            <w:tcW w:type="dxa" w:w="1028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387,6</w:t>
            </w:r>
          </w:p>
        </w:tc>
        <w:tc>
          <w:tcPr>
            <w:tcW w:type="dxa" w:w="1063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400,2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НАЛОГИ НА ИМУШЕСТВО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661,6</w:t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657,6</w:t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664,1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664,1</w:t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664,1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Налог на имущество  физических лиц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195,8</w:t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209,0</w:t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205,3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205,3</w:t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205,3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465,7</w:t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448,6</w:t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458,8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458,8</w:t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458,8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2,0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2,0</w:t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2,0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937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093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132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9,4</w:t>
            </w:r>
          </w:p>
        </w:tc>
        <w:tc>
          <w:tcPr>
            <w:tcW w:type="dxa" w:w="1028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9,4</w:t>
            </w:r>
          </w:p>
        </w:tc>
        <w:tc>
          <w:tcPr>
            <w:tcW w:type="dxa" w:w="1063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9,4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861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type="dxa" w:w="937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158,4</w:t>
            </w:r>
          </w:p>
        </w:tc>
        <w:tc>
          <w:tcPr>
            <w:tcW w:type="dxa" w:w="1093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162,00</w:t>
            </w:r>
          </w:p>
        </w:tc>
        <w:tc>
          <w:tcPr>
            <w:tcW w:type="dxa" w:w="1132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type="dxa" w:w="1028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140,0</w:t>
            </w:r>
          </w:p>
        </w:tc>
        <w:tc>
          <w:tcPr>
            <w:tcW w:type="dxa" w:w="1063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140,0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1698,5</w:t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1795,8</w:t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1662,0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1568,5</w:t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1566,9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left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left"/>
            </w:pPr>
            <w:r>
              <w:rPr>
                <w:sz w:val="24"/>
                <w:szCs w:val="24"/>
              </w:rPr>
              <w:t>199,1</w:t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left"/>
            </w:pPr>
            <w:r>
              <w:rPr>
                <w:sz w:val="24"/>
                <w:szCs w:val="24"/>
              </w:rPr>
              <w:t>154,0</w:t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156,9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156,9</w:t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153,0</w:t>
            </w:r>
          </w:p>
        </w:tc>
      </w:tr>
      <w:tr>
        <w:trPr>
          <w:trHeight w:hRule="atLeast" w:val="457"/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Дотации бюджетам  на поддержку мер по обеспечению сбалансированности бюджетов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78,3</w:t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91,5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91,5</w:t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95,1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Прочие межбюджетные трансферты</w:t>
            </w:r>
          </w:p>
        </w:tc>
        <w:tc>
          <w:tcPr>
            <w:tcW w:type="dxa" w:w="937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1421,1</w:t>
            </w:r>
          </w:p>
        </w:tc>
        <w:tc>
          <w:tcPr>
            <w:tcW w:type="dxa" w:w="1093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1556,8</w:t>
            </w:r>
          </w:p>
        </w:tc>
        <w:tc>
          <w:tcPr>
            <w:tcW w:type="dxa" w:w="1132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1250,9</w:t>
            </w:r>
          </w:p>
        </w:tc>
        <w:tc>
          <w:tcPr>
            <w:tcW w:type="dxa" w:w="1028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1250,9</w:t>
            </w:r>
          </w:p>
        </w:tc>
        <w:tc>
          <w:tcPr>
            <w:tcW w:type="dxa" w:w="1063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1249,6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type="dxa" w:w="937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9,4</w:t>
            </w:r>
          </w:p>
        </w:tc>
        <w:tc>
          <w:tcPr>
            <w:tcW w:type="dxa" w:w="1093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132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028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063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861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bookmarkStart w:id="4" w:name="__DdeLink__530_1297835961"/>
            <w:bookmarkEnd w:id="4"/>
            <w:r>
              <w:rPr/>
              <w:t>Межбюджетные трансферты на передачу полномочий по созданию и содержанию мест(площадок) накопления ТКО</w:t>
            </w:r>
          </w:p>
        </w:tc>
        <w:tc>
          <w:tcPr>
            <w:tcW w:type="dxa" w:w="937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093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132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69,2</w:t>
            </w:r>
          </w:p>
        </w:tc>
        <w:tc>
          <w:tcPr>
            <w:tcW w:type="dxa" w:w="1028"/>
            <w:tcBorders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69,2</w:t>
            </w:r>
          </w:p>
        </w:tc>
        <w:tc>
          <w:tcPr>
            <w:tcW w:type="dxa" w:w="1063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69,2</w:t>
            </w:r>
          </w:p>
        </w:tc>
      </w:tr>
      <w:tr>
        <w:trPr>
          <w:cantSplit w:val="false"/>
        </w:trPr>
        <w:tc>
          <w:tcPr>
            <w:tcW w:type="dxa" w:w="4861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type="dxa" w:w="93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3043,3</w:t>
            </w:r>
          </w:p>
        </w:tc>
        <w:tc>
          <w:tcPr>
            <w:tcW w:type="dxa" w:w="1093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3131,5</w:t>
            </w:r>
          </w:p>
        </w:tc>
        <w:tc>
          <w:tcPr>
            <w:tcW w:type="dxa" w:w="113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2995,7</w:t>
            </w:r>
          </w:p>
        </w:tc>
        <w:tc>
          <w:tcPr>
            <w:tcW w:type="dxa" w:w="1028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2925,24</w:t>
            </w:r>
          </w:p>
        </w:tc>
        <w:tc>
          <w:tcPr>
            <w:tcW w:type="dxa" w:w="106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2944,99</w:t>
            </w:r>
          </w:p>
        </w:tc>
      </w:tr>
    </w:tbl>
    <w:p>
      <w:pPr>
        <w:pStyle w:val="style0"/>
        <w:jc w:val="center"/>
      </w:pPr>
      <w:r>
        <w:rPr/>
      </w:r>
    </w:p>
    <w:p>
      <w:pPr>
        <w:pStyle w:val="style0"/>
        <w:ind w:firstLine="540" w:left="0" w:right="0"/>
        <w:jc w:val="both"/>
      </w:pPr>
      <w:r>
        <w:rPr/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 xml:space="preserve">Расходы бюджета Большекитякского сельского поселения на 2021 год и период до 2023 года определены исходя из установленных приоритетов социально-экономической политики в рамках доходных возможностей бюджета, а также с учетом ориентиров, установленных перспективным финансовым планом муниципального образования Большекитякского сельского поселения. </w:t>
      </w:r>
    </w:p>
    <w:p>
      <w:pPr>
        <w:pStyle w:val="style0"/>
        <w:ind w:firstLine="540" w:left="0" w:right="0"/>
        <w:jc w:val="both"/>
      </w:pPr>
      <w:r>
        <w:rPr>
          <w:sz w:val="24"/>
          <w:szCs w:val="24"/>
        </w:rPr>
        <w:t xml:space="preserve">Расходы бюджета Большекитякского сельского поселения на прогнозный период составят: в 2021 г. – 2995,07тыс. руб., в 2022 г. –2925,24 тыс. руб., в 2023 г. –2944,99 тыс. руб. </w:t>
      </w:r>
    </w:p>
    <w:p>
      <w:pPr>
        <w:pStyle w:val="style0"/>
        <w:ind w:firstLine="540" w:left="0" w:right="0"/>
        <w:jc w:val="both"/>
      </w:pPr>
      <w:r>
        <w:rPr/>
      </w:r>
    </w:p>
    <w:p>
      <w:pPr>
        <w:pStyle w:val="style0"/>
        <w:jc w:val="center"/>
      </w:pPr>
      <w:r>
        <w:rPr>
          <w:sz w:val="24"/>
          <w:szCs w:val="24"/>
        </w:rPr>
        <w:t xml:space="preserve">ПРОГНОЗ РАСХОДНОЙ ЧАСТИ  БЮДЖЕТА </w:t>
      </w:r>
    </w:p>
    <w:p>
      <w:pPr>
        <w:pStyle w:val="style0"/>
        <w:jc w:val="center"/>
      </w:pPr>
      <w:r>
        <w:rPr>
          <w:sz w:val="24"/>
          <w:szCs w:val="24"/>
        </w:rPr>
        <w:t>Большекитякского сельского поселения НА 2021 - 2023 г, тыс.руб.</w:t>
      </w:r>
    </w:p>
    <w:p>
      <w:pPr>
        <w:pStyle w:val="style0"/>
        <w:jc w:val="center"/>
      </w:pPr>
      <w:r>
        <w:rPr/>
      </w:r>
    </w:p>
    <w:tbl>
      <w:tblPr>
        <w:jc w:val="left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tblInd w:type="dxa" w:w="-108"/>
      </w:tblPr>
      <w:tblGrid>
        <w:gridCol w:w="2670"/>
        <w:gridCol w:w="1245"/>
        <w:gridCol w:w="1005"/>
        <w:gridCol w:w="1665"/>
      </w:tblGrid>
      <w:tr>
        <w:trPr>
          <w:trHeight w:hRule="atLeast" w:val="161"/>
          <w:cantSplit w:val="true"/>
        </w:trPr>
        <w:tc>
          <w:tcPr>
            <w:tcW w:type="dxa" w:w="26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4"/>
              <w:spacing w:after="120" w:before="0"/>
              <w:ind w:hanging="0" w:left="142" w:right="0"/>
            </w:pPr>
            <w:r>
              <w:rPr>
                <w:b w:val="false"/>
                <w:sz w:val="24"/>
                <w:szCs w:val="24"/>
              </w:rPr>
              <w:t>Показатели</w:t>
            </w:r>
          </w:p>
        </w:tc>
        <w:tc>
          <w:tcPr>
            <w:tcW w:type="dxa" w:w="12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4"/>
            </w:pPr>
            <w:r>
              <w:rPr>
                <w:b w:val="false"/>
                <w:sz w:val="24"/>
                <w:szCs w:val="24"/>
              </w:rPr>
              <w:t>Отчет</w:t>
            </w:r>
          </w:p>
          <w:p>
            <w:pPr>
              <w:pStyle w:val="style34"/>
              <w:spacing w:after="120" w:before="0"/>
            </w:pPr>
            <w:r>
              <w:rPr>
                <w:b w:val="false"/>
                <w:sz w:val="24"/>
                <w:szCs w:val="24"/>
              </w:rPr>
              <w:t>2019 г.</w:t>
            </w:r>
          </w:p>
        </w:tc>
        <w:tc>
          <w:tcPr>
            <w:tcW w:type="dxa" w:w="100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4"/>
            </w:pPr>
            <w:r>
              <w:rPr>
                <w:b w:val="false"/>
                <w:sz w:val="24"/>
                <w:szCs w:val="24"/>
              </w:rPr>
              <w:t>Оценка</w:t>
            </w:r>
          </w:p>
          <w:p>
            <w:pPr>
              <w:pStyle w:val="style34"/>
              <w:spacing w:after="120" w:before="0"/>
            </w:pPr>
            <w:r>
              <w:rPr>
                <w:b w:val="false"/>
                <w:sz w:val="24"/>
                <w:szCs w:val="24"/>
              </w:rPr>
              <w:t>2020 г</w:t>
            </w:r>
          </w:p>
        </w:tc>
        <w:tc>
          <w:tcPr>
            <w:tcW w:type="dxa" w:w="1665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4"/>
              <w:spacing w:after="120" w:before="0"/>
              <w:jc w:val="both"/>
            </w:pPr>
            <w:r>
              <w:rPr>
                <w:b w:val="false"/>
                <w:sz w:val="24"/>
                <w:szCs w:val="24"/>
              </w:rPr>
              <w:t>Прогноз</w:t>
            </w:r>
          </w:p>
        </w:tc>
      </w:tr>
      <w:tr>
        <w:trPr>
          <w:trHeight w:hRule="atLeast" w:val="102"/>
          <w:cantSplit w:val="true"/>
        </w:trPr>
        <w:tc>
          <w:tcPr>
            <w:tcW w:type="dxa" w:w="267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4"/>
              <w:spacing w:after="120" w:before="0"/>
              <w:jc w:val="left"/>
            </w:pPr>
            <w:r>
              <w:rPr/>
            </w:r>
          </w:p>
        </w:tc>
        <w:tc>
          <w:tcPr>
            <w:tcW w:type="dxa" w:w="124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4"/>
              <w:spacing w:after="120" w:before="0"/>
            </w:pPr>
            <w:r>
              <w:rPr/>
            </w:r>
          </w:p>
        </w:tc>
        <w:tc>
          <w:tcPr>
            <w:tcW w:type="dxa" w:w="100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4"/>
              <w:spacing w:after="120" w:before="0"/>
            </w:pPr>
            <w:r>
              <w:rPr/>
            </w:r>
          </w:p>
        </w:tc>
        <w:tc>
          <w:tcPr>
            <w:tcW w:type="dxa" w:w="16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4"/>
              <w:spacing w:after="120" w:before="0"/>
              <w:ind w:hanging="0" w:left="0" w:right="-108"/>
            </w:pPr>
            <w:r>
              <w:rPr>
                <w:b w:val="false"/>
                <w:sz w:val="24"/>
                <w:szCs w:val="24"/>
              </w:rPr>
              <w:t>2021 г.</w:t>
            </w:r>
          </w:p>
        </w:tc>
        <w:tc>
          <w:tcPr>
            <w:tcW w:type="dxa" w:w="1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4"/>
              <w:spacing w:after="120" w:before="0"/>
              <w:ind w:hanging="0" w:left="34" w:right="0"/>
            </w:pPr>
            <w:r>
              <w:rPr>
                <w:b w:val="false"/>
                <w:sz w:val="24"/>
                <w:szCs w:val="24"/>
              </w:rPr>
              <w:t>2022 г.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4"/>
              <w:spacing w:after="120" w:before="0"/>
            </w:pPr>
            <w:r>
              <w:rPr>
                <w:b w:val="false"/>
                <w:sz w:val="24"/>
                <w:szCs w:val="24"/>
              </w:rPr>
              <w:t>2023 г.</w:t>
            </w:r>
          </w:p>
        </w:tc>
      </w:tr>
      <w:tr>
        <w:trPr>
          <w:trHeight w:hRule="atLeast" w:val="163"/>
          <w:cantSplit w:val="false"/>
        </w:trPr>
        <w:tc>
          <w:tcPr>
            <w:tcW w:type="dxa" w:w="26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7"/>
            </w:pPr>
            <w:r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type="dxa" w:w="12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1302,1</w:t>
            </w:r>
          </w:p>
        </w:tc>
        <w:tc>
          <w:tcPr>
            <w:tcW w:type="dxa" w:w="10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1677,0</w:t>
            </w:r>
          </w:p>
        </w:tc>
        <w:tc>
          <w:tcPr>
            <w:tcW w:type="dxa" w:w="16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1183,7</w:t>
            </w:r>
          </w:p>
        </w:tc>
        <w:tc>
          <w:tcPr>
            <w:tcW w:type="dxa" w:w="1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1185,00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1185,00</w:t>
            </w:r>
          </w:p>
        </w:tc>
      </w:tr>
      <w:tr>
        <w:trPr>
          <w:trHeight w:hRule="atLeast" w:val="163"/>
          <w:cantSplit w:val="false"/>
        </w:trPr>
        <w:tc>
          <w:tcPr>
            <w:tcW w:type="dxa" w:w="26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7"/>
            </w:pPr>
            <w:r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type="dxa" w:w="12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78,3</w:t>
            </w:r>
          </w:p>
        </w:tc>
        <w:tc>
          <w:tcPr>
            <w:tcW w:type="dxa" w:w="10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type="dxa" w:w="16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90,6</w:t>
            </w:r>
          </w:p>
        </w:tc>
        <w:tc>
          <w:tcPr>
            <w:tcW w:type="dxa" w:w="1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91,5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95,1</w:t>
            </w:r>
          </w:p>
        </w:tc>
      </w:tr>
      <w:tr>
        <w:trPr>
          <w:cantSplit w:val="false"/>
        </w:trPr>
        <w:tc>
          <w:tcPr>
            <w:tcW w:type="dxa" w:w="26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7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type="dxa" w:w="12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836,5</w:t>
            </w:r>
          </w:p>
        </w:tc>
        <w:tc>
          <w:tcPr>
            <w:tcW w:type="dxa" w:w="10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1103,5</w:t>
            </w:r>
          </w:p>
        </w:tc>
        <w:tc>
          <w:tcPr>
            <w:tcW w:type="dxa" w:w="16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883,6</w:t>
            </w:r>
          </w:p>
        </w:tc>
        <w:tc>
          <w:tcPr>
            <w:tcW w:type="dxa" w:w="1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786,14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784,69</w:t>
            </w:r>
          </w:p>
        </w:tc>
      </w:tr>
      <w:tr>
        <w:trPr>
          <w:cantSplit w:val="false"/>
        </w:trPr>
        <w:tc>
          <w:tcPr>
            <w:tcW w:type="dxa" w:w="26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7"/>
            </w:pPr>
            <w:r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type="dxa" w:w="12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321,1</w:t>
            </w:r>
          </w:p>
        </w:tc>
        <w:tc>
          <w:tcPr>
            <w:tcW w:type="dxa" w:w="10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309,2</w:t>
            </w:r>
          </w:p>
        </w:tc>
        <w:tc>
          <w:tcPr>
            <w:tcW w:type="dxa" w:w="16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217,0</w:t>
            </w:r>
          </w:p>
        </w:tc>
        <w:tc>
          <w:tcPr>
            <w:tcW w:type="dxa" w:w="1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220,8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220,8</w:t>
            </w:r>
          </w:p>
        </w:tc>
      </w:tr>
      <w:tr>
        <w:trPr>
          <w:cantSplit w:val="false"/>
        </w:trPr>
        <w:tc>
          <w:tcPr>
            <w:tcW w:type="dxa" w:w="26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7"/>
            </w:pPr>
            <w:r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type="dxa" w:w="12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242,2</w:t>
            </w:r>
          </w:p>
        </w:tc>
        <w:tc>
          <w:tcPr>
            <w:tcW w:type="dxa" w:w="10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247,6</w:t>
            </w:r>
          </w:p>
        </w:tc>
        <w:tc>
          <w:tcPr>
            <w:tcW w:type="dxa" w:w="16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type="dxa" w:w="1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140,0</w:t>
            </w:r>
          </w:p>
        </w:tc>
      </w:tr>
      <w:tr>
        <w:trPr>
          <w:cantSplit w:val="false"/>
        </w:trPr>
        <w:tc>
          <w:tcPr>
            <w:tcW w:type="dxa" w:w="267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type="dxa" w:w="12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75,4</w:t>
            </w:r>
          </w:p>
        </w:tc>
        <w:tc>
          <w:tcPr>
            <w:tcW w:type="dxa" w:w="100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118,0</w:t>
            </w:r>
          </w:p>
        </w:tc>
        <w:tc>
          <w:tcPr>
            <w:tcW w:type="dxa" w:w="166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type="dxa" w:w="1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type="dxa" w:w="144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</w:rPr>
              <w:t>50,0</w:t>
            </w:r>
          </w:p>
        </w:tc>
      </w:tr>
      <w:tr>
        <w:trPr>
          <w:cantSplit w:val="false"/>
        </w:trPr>
        <w:tc>
          <w:tcPr>
            <w:tcW w:type="dxa" w:w="267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Поддержка дорожного хозяйства</w:t>
            </w:r>
          </w:p>
        </w:tc>
        <w:tc>
          <w:tcPr>
            <w:tcW w:type="dxa" w:w="12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224,00</w:t>
            </w:r>
          </w:p>
        </w:tc>
        <w:tc>
          <w:tcPr>
            <w:tcW w:type="dxa" w:w="100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961,3</w:t>
            </w:r>
          </w:p>
        </w:tc>
        <w:tc>
          <w:tcPr>
            <w:tcW w:type="dxa" w:w="166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370,6</w:t>
            </w:r>
          </w:p>
        </w:tc>
        <w:tc>
          <w:tcPr>
            <w:tcW w:type="dxa" w:w="1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387,6</w:t>
            </w:r>
          </w:p>
        </w:tc>
        <w:tc>
          <w:tcPr>
            <w:tcW w:type="dxa" w:w="144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400,2</w:t>
            </w:r>
          </w:p>
        </w:tc>
      </w:tr>
      <w:tr>
        <w:trPr>
          <w:cantSplit w:val="false"/>
        </w:trPr>
        <w:tc>
          <w:tcPr>
            <w:tcW w:type="dxa" w:w="267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Межбюджетные трансферты на передачу полномочий по созданию и содержанию мест(площадок) накопления ТКО</w:t>
            </w:r>
          </w:p>
        </w:tc>
        <w:tc>
          <w:tcPr>
            <w:tcW w:type="dxa" w:w="12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00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69,2</w:t>
            </w:r>
          </w:p>
        </w:tc>
        <w:tc>
          <w:tcPr>
            <w:tcW w:type="dxa" w:w="166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69,2</w:t>
            </w:r>
          </w:p>
        </w:tc>
        <w:tc>
          <w:tcPr>
            <w:tcW w:type="dxa" w:w="1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69,2</w:t>
            </w:r>
          </w:p>
        </w:tc>
        <w:tc>
          <w:tcPr>
            <w:tcW w:type="dxa" w:w="144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69,2</w:t>
            </w:r>
          </w:p>
        </w:tc>
      </w:tr>
      <w:tr>
        <w:trPr>
          <w:cantSplit w:val="false"/>
        </w:trPr>
        <w:tc>
          <w:tcPr>
            <w:tcW w:type="dxa" w:w="267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Проведение выборов и референдумов</w:t>
            </w:r>
          </w:p>
        </w:tc>
        <w:tc>
          <w:tcPr>
            <w:tcW w:type="dxa" w:w="12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30,0</w:t>
            </w:r>
          </w:p>
        </w:tc>
        <w:tc>
          <w:tcPr>
            <w:tcW w:type="dxa" w:w="100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30,0</w:t>
            </w:r>
          </w:p>
        </w:tc>
        <w:tc>
          <w:tcPr>
            <w:tcW w:type="dxa" w:w="166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44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</w:tr>
      <w:tr>
        <w:trPr>
          <w:trHeight w:hRule="atLeast" w:val="459"/>
          <w:cantSplit w:val="false"/>
        </w:trPr>
        <w:tc>
          <w:tcPr>
            <w:tcW w:type="dxa" w:w="26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type="dxa" w:w="12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3127,7</w:t>
            </w:r>
          </w:p>
        </w:tc>
        <w:tc>
          <w:tcPr>
            <w:tcW w:type="dxa" w:w="10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4192,4</w:t>
            </w:r>
          </w:p>
        </w:tc>
        <w:tc>
          <w:tcPr>
            <w:tcW w:type="dxa" w:w="16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2995,7</w:t>
            </w:r>
          </w:p>
        </w:tc>
        <w:tc>
          <w:tcPr>
            <w:tcW w:type="dxa" w:w="1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2925,24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</w:rPr>
              <w:t>2944,99</w:t>
            </w:r>
          </w:p>
        </w:tc>
      </w:tr>
    </w:tbl>
    <w:p>
      <w:pPr>
        <w:pStyle w:val="style3"/>
        <w:numPr>
          <w:ilvl w:val="2"/>
          <w:numId w:val="2"/>
        </w:numPr>
        <w:spacing w:after="0" w:before="0"/>
        <w:ind w:firstLine="540" w:left="0" w:right="0"/>
        <w:jc w:val="center"/>
      </w:pPr>
      <w:r>
        <w:rPr/>
      </w:r>
    </w:p>
    <w:p>
      <w:pPr>
        <w:pStyle w:val="style0"/>
        <w:ind w:firstLine="567" w:left="0" w:right="0"/>
      </w:pPr>
      <w:r>
        <w:rPr/>
      </w:r>
    </w:p>
    <w:p>
      <w:pPr>
        <w:pStyle w:val="style0"/>
        <w:ind w:firstLine="567" w:left="0" w:right="0"/>
        <w:jc w:val="center"/>
      </w:pPr>
      <w:r>
        <w:rPr/>
      </w:r>
    </w:p>
    <w:sectPr>
      <w:type w:val="nextPage"/>
      <w:pgSz w:h="16838" w:w="11906"/>
      <w:pgMar w:bottom="567" w:footer="0" w:gutter="0" w:header="0" w:left="1418" w:right="567" w:top="567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000000"/>
      <w:sz w:val="24"/>
      <w:szCs w:val="24"/>
      <w:lang w:bidi="ar-SA" w:eastAsia="ru-RU" w:val="ru-RU"/>
    </w:rPr>
  </w:style>
  <w:style w:styleId="style1" w:type="paragraph">
    <w:name w:val="Заголовок 1"/>
    <w:basedOn w:val="style0"/>
    <w:next w:val="style34"/>
    <w:pPr>
      <w:keepNext/>
      <w:spacing w:after="60" w:before="240"/>
    </w:pPr>
    <w:rPr>
      <w:rFonts w:ascii="Arial" w:cs="Arial" w:hAnsi="Arial"/>
      <w:b/>
      <w:bCs/>
      <w:sz w:val="32"/>
      <w:szCs w:val="32"/>
    </w:rPr>
  </w:style>
  <w:style w:styleId="style2" w:type="paragraph">
    <w:name w:val="Заголовок 2"/>
    <w:basedOn w:val="style0"/>
    <w:next w:val="style34"/>
    <w:pPr>
      <w:keepNext/>
      <w:numPr>
        <w:ilvl w:val="1"/>
        <w:numId w:val="1"/>
      </w:numPr>
      <w:ind w:firstLine="709" w:left="0" w:right="0"/>
      <w:outlineLvl w:val="1"/>
    </w:pPr>
    <w:rPr>
      <w:b/>
      <w:bCs/>
      <w:i/>
      <w:iCs/>
      <w:sz w:val="28"/>
      <w:szCs w:val="20"/>
    </w:rPr>
  </w:style>
  <w:style w:styleId="style3" w:type="paragraph">
    <w:name w:val="Заголовок 3"/>
    <w:basedOn w:val="style0"/>
    <w:next w:val="style34"/>
    <w:pPr>
      <w:keepNext/>
      <w:numPr>
        <w:ilvl w:val="2"/>
        <w:numId w:val="1"/>
      </w:numPr>
      <w:spacing w:after="60" w:before="240"/>
      <w:outlineLvl w:val="2"/>
    </w:pPr>
    <w:rPr>
      <w:rFonts w:ascii="Arial" w:cs="Arial" w:hAnsi="Arial"/>
      <w:b/>
      <w:bCs/>
      <w:sz w:val="26"/>
      <w:szCs w:val="26"/>
    </w:rPr>
  </w:style>
  <w:style w:styleId="style4" w:type="paragraph">
    <w:name w:val="Заголовок 4"/>
    <w:basedOn w:val="style0"/>
    <w:next w:val="style34"/>
    <w:pPr>
      <w:keepNext/>
      <w:numPr>
        <w:ilvl w:val="3"/>
        <w:numId w:val="1"/>
      </w:numPr>
      <w:spacing w:after="60" w:before="240"/>
      <w:outlineLvl w:val="3"/>
    </w:pPr>
    <w:rPr>
      <w:b/>
      <w:bCs/>
      <w:i/>
      <w:iCs/>
      <w:sz w:val="28"/>
      <w:szCs w:val="28"/>
    </w:rPr>
  </w:style>
  <w:style w:styleId="style5" w:type="paragraph">
    <w:name w:val="Заголовок 5"/>
    <w:basedOn w:val="style0"/>
    <w:next w:val="style34"/>
    <w:pPr>
      <w:numPr>
        <w:ilvl w:val="4"/>
        <w:numId w:val="1"/>
      </w:numPr>
      <w:spacing w:after="60" w:before="240"/>
      <w:outlineLvl w:val="4"/>
    </w:pPr>
    <w:rPr>
      <w:b/>
      <w:bCs/>
      <w:i/>
      <w:iCs/>
      <w:sz w:val="26"/>
      <w:szCs w:val="26"/>
    </w:rPr>
  </w:style>
  <w:style w:styleId="style6" w:type="paragraph">
    <w:name w:val="Заголовок 6"/>
    <w:basedOn w:val="style0"/>
    <w:next w:val="style34"/>
    <w:pPr>
      <w:numPr>
        <w:ilvl w:val="5"/>
        <w:numId w:val="1"/>
      </w:numPr>
      <w:spacing w:after="60" w:before="240"/>
      <w:outlineLvl w:val="5"/>
    </w:pPr>
    <w:rPr>
      <w:b/>
      <w:bCs/>
      <w:sz w:val="22"/>
      <w:szCs w:val="22"/>
    </w:rPr>
  </w:style>
  <w:style w:styleId="style7" w:type="paragraph">
    <w:name w:val="Заголовок 7"/>
    <w:basedOn w:val="style0"/>
    <w:next w:val="style34"/>
    <w:pPr>
      <w:numPr>
        <w:ilvl w:val="6"/>
        <w:numId w:val="1"/>
      </w:numPr>
      <w:spacing w:after="60" w:before="240"/>
      <w:outlineLvl w:val="6"/>
    </w:pPr>
    <w:rPr>
      <w:b/>
      <w:bCs/>
      <w:sz w:val="18"/>
      <w:szCs w:val="18"/>
    </w:rPr>
  </w:style>
  <w:style w:styleId="style8" w:type="paragraph">
    <w:name w:val="Заголовок 8"/>
    <w:basedOn w:val="style0"/>
    <w:next w:val="style34"/>
    <w:pPr>
      <w:numPr>
        <w:ilvl w:val="7"/>
        <w:numId w:val="1"/>
      </w:numPr>
      <w:spacing w:after="60" w:before="240"/>
      <w:outlineLvl w:val="7"/>
    </w:pPr>
    <w:rPr>
      <w:b/>
      <w:bCs/>
      <w:i/>
      <w:iCs/>
      <w:sz w:val="18"/>
      <w:szCs w:val="18"/>
    </w:rPr>
  </w:style>
  <w:style w:styleId="style9" w:type="paragraph">
    <w:name w:val="Заголовок 9"/>
    <w:basedOn w:val="style0"/>
    <w:next w:val="style34"/>
    <w:pPr>
      <w:numPr>
        <w:ilvl w:val="8"/>
        <w:numId w:val="1"/>
      </w:numPr>
      <w:spacing w:after="60" w:before="240"/>
      <w:outlineLvl w:val="8"/>
    </w:pPr>
    <w:rPr>
      <w:rFonts w:ascii="Arial" w:cs="Arial" w:hAnsi="Arial"/>
      <w:b/>
      <w:bCs/>
      <w:sz w:val="22"/>
      <w:szCs w:val="22"/>
    </w:rPr>
  </w:style>
  <w:style w:styleId="style15" w:type="character">
    <w:name w:val="Default Paragraph Font"/>
    <w:next w:val="style15"/>
    <w:rPr/>
  </w:style>
  <w:style w:styleId="style16" w:type="character">
    <w:name w:val="Основной текст Знак"/>
    <w:next w:val="style16"/>
    <w:rPr>
      <w:b/>
      <w:sz w:val="28"/>
      <w:lang w:bidi="ar-SA" w:eastAsia="ru-RU" w:val="ru-RU"/>
    </w:rPr>
  </w:style>
  <w:style w:styleId="style17" w:type="character">
    <w:name w:val="Заголовок 1 Знак"/>
    <w:next w:val="style17"/>
    <w:rPr>
      <w:rFonts w:ascii="Arial" w:cs="Arial" w:hAnsi="Arial"/>
      <w:b/>
      <w:bCs/>
      <w:sz w:val="32"/>
      <w:szCs w:val="32"/>
      <w:lang w:bidi="ar-SA" w:eastAsia="ru-RU" w:val="ru-RU"/>
    </w:rPr>
  </w:style>
  <w:style w:styleId="style18" w:type="character">
    <w:name w:val="Интернет-ссылка"/>
    <w:next w:val="style18"/>
    <w:rPr>
      <w:color w:val="0000FF"/>
      <w:u w:val="single"/>
      <w:lang w:bidi="ru-RU" w:eastAsia="ru-RU" w:val="ru-RU"/>
    </w:rPr>
  </w:style>
  <w:style w:styleId="style19" w:type="character">
    <w:name w:val="txt1"/>
    <w:next w:val="style19"/>
    <w:rPr>
      <w:rFonts w:ascii="Verdana" w:hAnsi="Verdana"/>
      <w:color w:val="000000"/>
      <w:sz w:val="18"/>
      <w:szCs w:val="18"/>
    </w:rPr>
  </w:style>
  <w:style w:styleId="style20" w:type="character">
    <w:name w:val="footnote reference"/>
    <w:next w:val="style20"/>
    <w:rPr>
      <w:vertAlign w:val="superscript"/>
    </w:rPr>
  </w:style>
  <w:style w:styleId="style21" w:type="character">
    <w:name w:val="ConsPlusNormal Знак"/>
    <w:next w:val="style21"/>
    <w:rPr>
      <w:rFonts w:ascii="Arial" w:hAnsi="Arial"/>
      <w:lang w:bidi="ar-SA" w:eastAsia="ru-RU" w:val="ru-RU"/>
    </w:rPr>
  </w:style>
  <w:style w:styleId="style22" w:type="character">
    <w:name w:val="Выделение жирным"/>
    <w:next w:val="style22"/>
    <w:rPr>
      <w:b/>
      <w:bCs/>
    </w:rPr>
  </w:style>
  <w:style w:styleId="style23" w:type="character">
    <w:name w:val="sbr"/>
    <w:basedOn w:val="style15"/>
    <w:next w:val="style23"/>
    <w:rPr/>
  </w:style>
  <w:style w:styleId="style24" w:type="character">
    <w:name w:val="br"/>
    <w:basedOn w:val="style15"/>
    <w:next w:val="style24"/>
    <w:rPr/>
  </w:style>
  <w:style w:styleId="style25" w:type="character">
    <w:name w:val="sla"/>
    <w:basedOn w:val="style15"/>
    <w:next w:val="style25"/>
    <w:rPr/>
  </w:style>
  <w:style w:styleId="style26" w:type="character">
    <w:name w:val="la"/>
    <w:basedOn w:val="style15"/>
    <w:next w:val="style26"/>
    <w:rPr/>
  </w:style>
  <w:style w:styleId="style27" w:type="character">
    <w:name w:val="Основной текст с отступом Знак"/>
    <w:next w:val="style27"/>
    <w:rPr>
      <w:sz w:val="24"/>
      <w:szCs w:val="24"/>
      <w:lang w:bidi="ar-SA" w:eastAsia="ru-RU" w:val="ru-RU"/>
    </w:rPr>
  </w:style>
  <w:style w:styleId="style28" w:type="character">
    <w:name w:val="Стиль2 Знак"/>
    <w:next w:val="style28"/>
    <w:rPr>
      <w:sz w:val="28"/>
      <w:lang w:bidi="ar-SA" w:eastAsia="ru-RU" w:val="ru-RU"/>
    </w:rPr>
  </w:style>
  <w:style w:styleId="style29" w:type="character">
    <w:name w:val="ConsNormal Знак"/>
    <w:next w:val="style29"/>
    <w:rPr>
      <w:rFonts w:ascii="Arial" w:cs="Arial" w:hAnsi="Arial"/>
      <w:sz w:val="18"/>
      <w:szCs w:val="18"/>
      <w:lang w:bidi="ar-SA" w:eastAsia="ru-RU" w:val="ru-RU"/>
    </w:rPr>
  </w:style>
  <w:style w:styleId="style30" w:type="character">
    <w:name w:val="Заголовок 3 Знак"/>
    <w:next w:val="style30"/>
    <w:rPr>
      <w:rFonts w:ascii="Arial" w:cs="Arial" w:hAnsi="Arial"/>
      <w:b/>
      <w:bCs/>
      <w:sz w:val="26"/>
      <w:szCs w:val="26"/>
    </w:rPr>
  </w:style>
  <w:style w:styleId="style31" w:type="character">
    <w:name w:val="ListLabel 1"/>
    <w:next w:val="style31"/>
    <w:rPr>
      <w:rFonts w:cs="Courier New"/>
    </w:rPr>
  </w:style>
  <w:style w:styleId="style32" w:type="character">
    <w:name w:val="ListLabel 2"/>
    <w:next w:val="style32"/>
    <w:rPr>
      <w:sz w:val="20"/>
    </w:rPr>
  </w:style>
  <w:style w:styleId="style33" w:type="paragraph">
    <w:name w:val="Заголовок"/>
    <w:basedOn w:val="style0"/>
    <w:next w:val="style34"/>
    <w:pPr>
      <w:keepNext/>
      <w:spacing w:after="120" w:before="240"/>
    </w:pPr>
    <w:rPr>
      <w:rFonts w:ascii="Arial" w:cs="Mangal" w:eastAsia="Arial Unicode MS" w:hAnsi="Arial"/>
      <w:sz w:val="28"/>
      <w:szCs w:val="28"/>
    </w:rPr>
  </w:style>
  <w:style w:styleId="style34" w:type="paragraph">
    <w:name w:val="Основной текст"/>
    <w:basedOn w:val="style0"/>
    <w:next w:val="style34"/>
    <w:pPr>
      <w:spacing w:after="120" w:before="0"/>
      <w:jc w:val="center"/>
    </w:pPr>
    <w:rPr>
      <w:b/>
      <w:sz w:val="28"/>
      <w:szCs w:val="20"/>
    </w:rPr>
  </w:style>
  <w:style w:styleId="style35" w:type="paragraph">
    <w:name w:val="Список"/>
    <w:basedOn w:val="style34"/>
    <w:next w:val="style35"/>
    <w:pPr/>
    <w:rPr>
      <w:rFonts w:cs="Mangal"/>
    </w:rPr>
  </w:style>
  <w:style w:styleId="style36" w:type="paragraph">
    <w:name w:val="Название"/>
    <w:basedOn w:val="style0"/>
    <w:next w:val="style36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37" w:type="paragraph">
    <w:name w:val="Указатель"/>
    <w:basedOn w:val="style0"/>
    <w:next w:val="style37"/>
    <w:pPr>
      <w:suppressLineNumbers/>
    </w:pPr>
    <w:rPr>
      <w:rFonts w:cs="Mangal"/>
    </w:rPr>
  </w:style>
  <w:style w:styleId="style38" w:type="paragraph">
    <w:name w:val="Body Text Indent 3"/>
    <w:basedOn w:val="style0"/>
    <w:next w:val="style38"/>
    <w:pPr>
      <w:spacing w:after="120" w:before="0"/>
      <w:ind w:hanging="0" w:left="283" w:right="0"/>
    </w:pPr>
    <w:rPr>
      <w:sz w:val="16"/>
      <w:szCs w:val="16"/>
    </w:rPr>
  </w:style>
  <w:style w:styleId="style39" w:type="paragraph">
    <w:name w:val="Body Text Indent 2"/>
    <w:basedOn w:val="style0"/>
    <w:next w:val="style39"/>
    <w:pPr>
      <w:spacing w:after="120" w:before="0" w:line="480" w:lineRule="auto"/>
      <w:ind w:hanging="0" w:left="283" w:right="0"/>
    </w:pPr>
    <w:rPr/>
  </w:style>
  <w:style w:styleId="style40" w:type="paragraph">
    <w:name w:val="Нижний колонтитул"/>
    <w:basedOn w:val="style0"/>
    <w:next w:val="style40"/>
    <w:pPr>
      <w:suppressLineNumbers/>
      <w:tabs>
        <w:tab w:leader="none" w:pos="4677" w:val="center"/>
        <w:tab w:leader="none" w:pos="9355" w:val="right"/>
      </w:tabs>
    </w:pPr>
    <w:rPr>
      <w:szCs w:val="20"/>
    </w:rPr>
  </w:style>
  <w:style w:styleId="style41" w:type="paragraph">
    <w:name w:val="Основной текст с отступом"/>
    <w:basedOn w:val="style0"/>
    <w:next w:val="style41"/>
    <w:pPr>
      <w:spacing w:after="120" w:before="0"/>
      <w:ind w:hanging="0" w:left="283" w:right="0"/>
    </w:pPr>
    <w:rPr/>
  </w:style>
  <w:style w:styleId="style42" w:type="paragraph">
    <w:name w:val="annotation text"/>
    <w:basedOn w:val="style0"/>
    <w:next w:val="style42"/>
    <w:pPr/>
    <w:rPr>
      <w:sz w:val="20"/>
      <w:szCs w:val="20"/>
    </w:rPr>
  </w:style>
  <w:style w:styleId="style43" w:type="paragraph">
    <w:name w:val="заголовок 2"/>
    <w:basedOn w:val="style0"/>
    <w:next w:val="style43"/>
    <w:pPr>
      <w:keepNext/>
      <w:spacing w:after="60" w:before="240"/>
    </w:pPr>
    <w:rPr>
      <w:rFonts w:ascii="Arial" w:cs="Arial" w:hAnsi="Arial"/>
      <w:b/>
      <w:bCs/>
      <w:i/>
      <w:iCs/>
      <w:sz w:val="28"/>
      <w:szCs w:val="28"/>
    </w:rPr>
  </w:style>
  <w:style w:styleId="style44" w:type="paragraph">
    <w:name w:val="Body Text 3"/>
    <w:basedOn w:val="style0"/>
    <w:next w:val="style44"/>
    <w:pPr>
      <w:spacing w:after="120" w:before="0"/>
    </w:pPr>
    <w:rPr>
      <w:sz w:val="16"/>
      <w:szCs w:val="16"/>
    </w:rPr>
  </w:style>
  <w:style w:styleId="style45" w:type="paragraph">
    <w:name w:val="ConsPlusNormal"/>
    <w:next w:val="style45"/>
    <w:pPr>
      <w:widowControl w:val="false"/>
      <w:tabs>
        <w:tab w:leader="none" w:pos="708" w:val="left"/>
      </w:tabs>
      <w:suppressAutoHyphens w:val="true"/>
      <w:ind w:firstLine="720" w:left="0" w:right="0"/>
    </w:pPr>
    <w:rPr>
      <w:rFonts w:ascii="Arial" w:cs="Times New Roman" w:eastAsia="Times New Roman" w:hAnsi="Arial"/>
      <w:color w:val="00000A"/>
      <w:sz w:val="20"/>
      <w:szCs w:val="20"/>
      <w:lang w:bidi="ar-SA" w:eastAsia="ru-RU" w:val="ru-RU"/>
    </w:rPr>
  </w:style>
  <w:style w:styleId="style46" w:type="paragraph">
    <w:name w:val="Стиль Основной текст + 14 pt по ширине Первая строка:  125 см"/>
    <w:basedOn w:val="style34"/>
    <w:next w:val="style46"/>
    <w:pPr>
      <w:ind w:firstLine="540" w:left="0" w:right="0"/>
      <w:jc w:val="both"/>
    </w:pPr>
    <w:rPr>
      <w:b w:val="false"/>
      <w:color w:val="000000"/>
      <w:szCs w:val="28"/>
    </w:rPr>
  </w:style>
  <w:style w:styleId="style47" w:type="paragraph">
    <w:name w:val="Balloon Text"/>
    <w:basedOn w:val="style0"/>
    <w:next w:val="style47"/>
    <w:pPr/>
    <w:rPr>
      <w:rFonts w:ascii="Tahoma" w:cs="Arial" w:hAnsi="Tahoma"/>
      <w:sz w:val="16"/>
      <w:szCs w:val="18"/>
    </w:rPr>
  </w:style>
  <w:style w:styleId="style48" w:type="paragraph">
    <w:name w:val="ConsNormal"/>
    <w:next w:val="style48"/>
    <w:pPr>
      <w:widowControl w:val="false"/>
      <w:tabs>
        <w:tab w:leader="none" w:pos="708" w:val="left"/>
      </w:tabs>
      <w:suppressAutoHyphens w:val="true"/>
      <w:ind w:firstLine="720" w:left="0" w:right="19772"/>
    </w:pPr>
    <w:rPr>
      <w:rFonts w:ascii="Arial" w:cs="Arial" w:eastAsia="Times New Roman" w:hAnsi="Arial"/>
      <w:color w:val="00000A"/>
      <w:sz w:val="18"/>
      <w:szCs w:val="18"/>
      <w:lang w:bidi="ar-SA" w:eastAsia="ru-RU" w:val="ru-RU"/>
    </w:rPr>
  </w:style>
  <w:style w:styleId="style49" w:type="paragraph">
    <w:name w:val="Обычный1"/>
    <w:next w:val="style49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00000A"/>
      <w:sz w:val="24"/>
      <w:szCs w:val="20"/>
      <w:lang w:bidi="ar-SA" w:eastAsia="ru-RU" w:val="ru-RU"/>
    </w:rPr>
  </w:style>
  <w:style w:styleId="style50" w:type="paragraph">
    <w:name w:val="textleft"/>
    <w:basedOn w:val="style0"/>
    <w:next w:val="style50"/>
    <w:pPr>
      <w:spacing w:after="28" w:before="28"/>
      <w:ind w:firstLine="225" w:left="0" w:right="0"/>
      <w:jc w:val="both"/>
    </w:pPr>
    <w:rPr>
      <w:rFonts w:ascii="Arial" w:cs="Arial" w:eastAsia="Arial Unicode MS" w:hAnsi="Arial"/>
      <w:color w:val="FFFFFF"/>
      <w:sz w:val="18"/>
      <w:szCs w:val="18"/>
    </w:rPr>
  </w:style>
  <w:style w:styleId="style51" w:type="paragraph">
    <w:name w:val="Normal (Web)"/>
    <w:basedOn w:val="style0"/>
    <w:next w:val="style51"/>
    <w:pPr>
      <w:spacing w:after="28" w:before="28"/>
    </w:pPr>
    <w:rPr>
      <w:rFonts w:ascii="Arial Unicode MS" w:cs="Arial Unicode MS" w:eastAsia="Arial Unicode MS" w:hAnsi="Arial Unicode MS"/>
      <w:color w:val="FFFFFF"/>
    </w:rPr>
  </w:style>
  <w:style w:styleId="style52" w:type="paragraph">
    <w:name w:val="Заглавие"/>
    <w:basedOn w:val="style0"/>
    <w:next w:val="style53"/>
    <w:pPr>
      <w:jc w:val="center"/>
    </w:pPr>
    <w:rPr>
      <w:b/>
      <w:bCs/>
      <w:sz w:val="36"/>
      <w:szCs w:val="20"/>
    </w:rPr>
  </w:style>
  <w:style w:styleId="style53" w:type="paragraph">
    <w:name w:val="Подзаголовок"/>
    <w:basedOn w:val="style33"/>
    <w:next w:val="style34"/>
    <w:pPr>
      <w:jc w:val="center"/>
    </w:pPr>
    <w:rPr>
      <w:i/>
      <w:iCs/>
      <w:sz w:val="28"/>
      <w:szCs w:val="28"/>
    </w:rPr>
  </w:style>
  <w:style w:styleId="style54" w:type="paragraph">
    <w:name w:val="Plain Text"/>
    <w:basedOn w:val="style0"/>
    <w:next w:val="style54"/>
    <w:pPr/>
    <w:rPr>
      <w:rFonts w:ascii="Courier New" w:cs="Courier New" w:hAnsi="Courier New"/>
      <w:sz w:val="20"/>
      <w:szCs w:val="20"/>
    </w:rPr>
  </w:style>
  <w:style w:styleId="style55" w:type="paragraph">
    <w:name w:val="ConsPlusNonformat"/>
    <w:next w:val="style55"/>
    <w:pPr>
      <w:widowControl w:val="false"/>
      <w:tabs>
        <w:tab w:leader="none" w:pos="708" w:val="left"/>
      </w:tabs>
      <w:suppressAutoHyphens w:val="true"/>
    </w:pPr>
    <w:rPr>
      <w:rFonts w:ascii="Courier New" w:cs="Courier New" w:eastAsia="Times New Roman" w:hAnsi="Courier New"/>
      <w:color w:val="00000A"/>
      <w:sz w:val="20"/>
      <w:szCs w:val="20"/>
      <w:lang w:bidi="ar-SA" w:eastAsia="ru-RU" w:val="ru-RU"/>
    </w:rPr>
  </w:style>
  <w:style w:styleId="style56" w:type="paragraph">
    <w:name w:val="Знак1 Знак Знак Знак"/>
    <w:basedOn w:val="style0"/>
    <w:next w:val="style56"/>
    <w:pPr/>
    <w:rPr>
      <w:rFonts w:ascii="Verdana" w:cs="Verdana" w:hAnsi="Verdana"/>
      <w:sz w:val="20"/>
      <w:szCs w:val="20"/>
      <w:lang w:eastAsia="en-US" w:val="en-US"/>
    </w:rPr>
  </w:style>
  <w:style w:styleId="style57" w:type="paragraph">
    <w:name w:val="Body Text Indent.Основной текст 1.Нумерованный список !!.Надин стиль"/>
    <w:basedOn w:val="style0"/>
    <w:next w:val="style57"/>
    <w:pPr>
      <w:spacing w:line="360" w:lineRule="auto"/>
      <w:ind w:firstLine="709" w:left="0" w:right="0"/>
      <w:jc w:val="both"/>
    </w:pPr>
    <w:rPr>
      <w:sz w:val="28"/>
      <w:szCs w:val="20"/>
    </w:rPr>
  </w:style>
  <w:style w:styleId="style58" w:type="paragraph">
    <w:name w:val="xl24"/>
    <w:basedOn w:val="style0"/>
    <w:next w:val="style58"/>
    <w:pPr>
      <w:spacing w:after="100" w:before="100"/>
    </w:pPr>
    <w:rPr>
      <w:rFonts w:ascii="Arial" w:eastAsia="Arial Unicode MS" w:hAnsi="Arial"/>
      <w:b/>
      <w:szCs w:val="20"/>
    </w:rPr>
  </w:style>
  <w:style w:styleId="style59" w:type="paragraph">
    <w:name w:val="Стиль2"/>
    <w:basedOn w:val="style54"/>
    <w:next w:val="style59"/>
    <w:pPr>
      <w:spacing w:line="360" w:lineRule="auto"/>
      <w:ind w:firstLine="709" w:left="0" w:right="0"/>
      <w:jc w:val="both"/>
    </w:pPr>
    <w:rPr>
      <w:rFonts w:ascii="Times New Roman" w:cs="Times New Roman" w:hAnsi="Times New Roman"/>
      <w:sz w:val="28"/>
    </w:rPr>
  </w:style>
  <w:style w:styleId="style60" w:type="paragraph">
    <w:name w:val="Знак1"/>
    <w:basedOn w:val="style0"/>
    <w:next w:val="style60"/>
    <w:pPr>
      <w:spacing w:after="160" w:before="0" w:line="240" w:lineRule="exact"/>
    </w:pPr>
    <w:rPr>
      <w:rFonts w:ascii="Verdana" w:hAnsi="Verdana"/>
      <w:sz w:val="20"/>
      <w:szCs w:val="20"/>
      <w:lang w:eastAsia="en-US" w:val="en-US"/>
    </w:rPr>
  </w:style>
  <w:style w:styleId="style61" w:type="paragraph">
    <w:name w:val="footnote text"/>
    <w:basedOn w:val="style0"/>
    <w:next w:val="style61"/>
    <w:pPr/>
    <w:rPr>
      <w:sz w:val="20"/>
      <w:szCs w:val="20"/>
    </w:rPr>
  </w:style>
  <w:style w:styleId="style62" w:type="paragraph">
    <w:name w:val="Основной текст 21"/>
    <w:basedOn w:val="style0"/>
    <w:next w:val="style62"/>
    <w:pPr>
      <w:spacing w:line="360" w:lineRule="auto"/>
      <w:ind w:firstLine="720" w:left="0" w:right="0"/>
      <w:jc w:val="both"/>
    </w:pPr>
    <w:rPr>
      <w:szCs w:val="20"/>
    </w:rPr>
  </w:style>
  <w:style w:styleId="style63" w:type="paragraph">
    <w:name w:val="Заголграф"/>
    <w:basedOn w:val="style3"/>
    <w:next w:val="style63"/>
    <w:pPr>
      <w:spacing w:after="240" w:before="120"/>
      <w:ind w:hanging="0" w:left="0" w:right="0"/>
      <w:jc w:val="center"/>
      <w:outlineLvl w:val="9"/>
    </w:pPr>
    <w:rPr>
      <w:rFonts w:cs="Times New Roman"/>
      <w:bCs w:val="false"/>
      <w:sz w:val="22"/>
      <w:szCs w:val="20"/>
    </w:rPr>
  </w:style>
  <w:style w:styleId="style64" w:type="paragraph">
    <w:name w:val="List Bullet 2"/>
    <w:basedOn w:val="style0"/>
    <w:next w:val="style64"/>
    <w:pPr>
      <w:tabs>
        <w:tab w:leader="none" w:pos="14940" w:val="left"/>
      </w:tabs>
      <w:ind w:hanging="0" w:left="0" w:right="661"/>
    </w:pPr>
    <w:rPr>
      <w:bCs/>
      <w:sz w:val="22"/>
      <w:szCs w:val="22"/>
    </w:rPr>
  </w:style>
  <w:style w:styleId="style65" w:type="paragraph">
    <w:name w:val="Body Text 2"/>
    <w:basedOn w:val="style0"/>
    <w:next w:val="style65"/>
    <w:pPr>
      <w:spacing w:after="120" w:before="0" w:line="480" w:lineRule="auto"/>
    </w:pPr>
    <w:rPr/>
  </w:style>
  <w:style w:styleId="style66" w:type="paragraph">
    <w:name w:val="Верхний колонтитул"/>
    <w:basedOn w:val="style0"/>
    <w:next w:val="style66"/>
    <w:pPr>
      <w:suppressLineNumbers/>
      <w:tabs>
        <w:tab w:leader="none" w:pos="4677" w:val="center"/>
        <w:tab w:leader="none" w:pos="9355" w:val="right"/>
      </w:tabs>
    </w:pPr>
    <w:rPr/>
  </w:style>
  <w:style w:styleId="style67" w:type="paragraph">
    <w:name w:val="Основной текст с отступом 21"/>
    <w:basedOn w:val="style0"/>
    <w:next w:val="style67"/>
    <w:pPr>
      <w:spacing w:line="360" w:lineRule="auto"/>
      <w:ind w:firstLine="567" w:left="0" w:right="0"/>
      <w:jc w:val="both"/>
    </w:pPr>
    <w:rPr>
      <w:szCs w:val="20"/>
    </w:rPr>
  </w:style>
  <w:style w:styleId="style68" w:type="paragraph">
    <w:name w:val="Основной текст 22"/>
    <w:basedOn w:val="style0"/>
    <w:next w:val="style68"/>
    <w:pPr>
      <w:ind w:firstLine="709" w:left="0" w:right="0"/>
      <w:jc w:val="both"/>
    </w:pPr>
    <w:rPr>
      <w:sz w:val="28"/>
      <w:szCs w:val="20"/>
    </w:rPr>
  </w:style>
  <w:style w:styleId="style69" w:type="paragraph">
    <w:name w:val="mb12"/>
    <w:basedOn w:val="style0"/>
    <w:next w:val="style69"/>
    <w:pPr>
      <w:spacing w:after="28" w:before="28"/>
    </w:pPr>
    <w:rPr/>
  </w:style>
  <w:style w:styleId="style70" w:type="paragraph">
    <w:name w:val="gzt_intro lg"/>
    <w:basedOn w:val="style0"/>
    <w:next w:val="style70"/>
    <w:pPr>
      <w:spacing w:after="28" w:before="28"/>
    </w:pPr>
    <w:rPr/>
  </w:style>
  <w:style w:styleId="style71" w:type="paragraph">
    <w:name w:val="Char Char Знак Знак Char Char Знак Знак Char Char Знак Знак Char Char Знак Знак Char Char"/>
    <w:basedOn w:val="style0"/>
    <w:next w:val="style71"/>
    <w:pPr/>
    <w:rPr>
      <w:rFonts w:ascii="Verdana" w:cs="Verdana" w:hAnsi="Verdana"/>
      <w:sz w:val="20"/>
      <w:szCs w:val="20"/>
      <w:lang w:eastAsia="en-US" w:val="en-US"/>
    </w:rPr>
  </w:style>
  <w:style w:styleId="style72" w:type="paragraph">
    <w:name w:val="сновной текст с отступом 2"/>
    <w:basedOn w:val="style0"/>
    <w:next w:val="style72"/>
    <w:pPr>
      <w:widowControl w:val="false"/>
      <w:ind w:firstLine="720" w:left="0" w:right="0"/>
      <w:jc w:val="both"/>
    </w:pPr>
    <w:rPr>
      <w:sz w:val="26"/>
      <w:szCs w:val="20"/>
    </w:rPr>
  </w:style>
  <w:style w:styleId="style73" w:type="paragraph">
    <w:name w:val="xl74"/>
    <w:basedOn w:val="style0"/>
    <w:next w:val="style73"/>
    <w:pPr>
      <w:pBdr>
        <w:left w:color="00000A" w:space="0" w:sz="8" w:val="single"/>
        <w:right w:color="00000A" w:space="0" w:sz="8" w:val="single"/>
      </w:pBdr>
      <w:spacing w:after="28" w:before="28"/>
    </w:pPr>
    <w:rPr>
      <w:rFonts w:ascii="Times New Roman CYR" w:cs="GaramondC" w:eastAsia="Arial Unicode MS" w:hAnsi="Times New Roman CYR"/>
      <w:sz w:val="18"/>
      <w:szCs w:val="18"/>
    </w:rPr>
  </w:style>
  <w:style w:styleId="style74" w:type="paragraph">
    <w:name w:val="загола'eeвок 1"/>
    <w:basedOn w:val="style0"/>
    <w:next w:val="style74"/>
    <w:pPr>
      <w:keepNext/>
      <w:widowControl w:val="false"/>
      <w:jc w:val="center"/>
    </w:pPr>
    <w:rPr>
      <w:szCs w:val="20"/>
    </w:rPr>
  </w:style>
  <w:style w:styleId="style75" w:type="paragraph">
    <w:name w:val="Знак2"/>
    <w:basedOn w:val="style0"/>
    <w:next w:val="style75"/>
    <w:pPr>
      <w:widowControl w:val="false"/>
      <w:spacing w:after="160" w:before="0" w:line="240" w:lineRule="exact"/>
      <w:jc w:val="right"/>
    </w:pPr>
    <w:rPr>
      <w:sz w:val="20"/>
      <w:szCs w:val="20"/>
      <w:lang w:eastAsia="en-US" w:val="en-GB"/>
    </w:rPr>
  </w:style>
  <w:style w:styleId="style76" w:type="paragraph">
    <w:name w:val="Основной"/>
    <w:next w:val="style76"/>
    <w:pPr>
      <w:widowControl/>
      <w:tabs>
        <w:tab w:leader="none" w:pos="708" w:val="left"/>
      </w:tabs>
      <w:suppressAutoHyphens w:val="true"/>
      <w:overflowPunct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77" w:type="paragraph">
    <w:name w:val="ЭЭГ"/>
    <w:basedOn w:val="style0"/>
    <w:next w:val="style77"/>
    <w:pPr>
      <w:spacing w:line="360" w:lineRule="auto"/>
      <w:ind w:firstLine="720" w:left="0" w:right="0"/>
      <w:jc w:val="both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Application>LibreOffice/3.4$Win32 LibreOffice_project/340m1$Build-302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2015-11-10T09:48:00.00Z</dcterms:created>
  <dc:creator>Владелец</dc:creator>
  <cp:lastModifiedBy>Владелец</cp:lastModifiedBy>
  <cp:lastPrinted>2019-11-13T15:07:31.27Z</cp:lastPrinted>
  <dcterms:modified xsi:type="dcterms:W3CDTF">2015-11-11T06:06:00.00Z</dcterms:modified>
  <cp:revision>9</cp:revision>
  <dc:title>Пояснительная записка к прогнозу</dc:title>
</cp:coreProperties>
</file>