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B6" w:rsidRDefault="006D4FB6" w:rsidP="006D4FB6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КАКСИНВАЙСКАЯ СЕЛЬСКАЯ ДУМА</w:t>
      </w: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B6" w:rsidRDefault="006D4FB6" w:rsidP="006D4FB6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05.03.2018                                                                                № 12</w:t>
      </w:r>
    </w:p>
    <w:p w:rsidR="006D4FB6" w:rsidRDefault="006D4FB6" w:rsidP="006D4FB6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с. Каксинвай</w:t>
      </w:r>
    </w:p>
    <w:p w:rsidR="006D4FB6" w:rsidRDefault="006D4FB6" w:rsidP="006D4FB6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FB6" w:rsidRDefault="006D4FB6" w:rsidP="006D4FB6">
      <w:pPr>
        <w:pStyle w:val="ConsPlusNormal"/>
        <w:widowControl/>
        <w:ind w:right="175" w:firstLine="0"/>
      </w:pPr>
    </w:p>
    <w:p w:rsidR="006D4FB6" w:rsidRDefault="006D4FB6" w:rsidP="006D4FB6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 внесении изменений в решение Каксинвайской сельской Думы </w:t>
      </w:r>
    </w:p>
    <w:p w:rsidR="006D4FB6" w:rsidRDefault="006D4FB6" w:rsidP="006D4FB6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06.05.2014 № 27</w:t>
      </w:r>
    </w:p>
    <w:p w:rsidR="006D4FB6" w:rsidRDefault="006D4FB6" w:rsidP="006D4FB6">
      <w:pPr>
        <w:tabs>
          <w:tab w:val="left" w:pos="720"/>
        </w:tabs>
        <w:rPr>
          <w:b/>
          <w:sz w:val="48"/>
          <w:szCs w:val="48"/>
        </w:rPr>
      </w:pPr>
    </w:p>
    <w:p w:rsidR="006D4FB6" w:rsidRDefault="006D4FB6" w:rsidP="006D4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районная Дума Малмыжского района РЕШИЛА:</w:t>
      </w:r>
    </w:p>
    <w:p w:rsidR="006D4FB6" w:rsidRDefault="006D4FB6" w:rsidP="006D4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статусе депутата, члена выборного органа </w:t>
      </w:r>
      <w:proofErr w:type="gramStart"/>
      <w:r>
        <w:rPr>
          <w:sz w:val="28"/>
          <w:szCs w:val="28"/>
        </w:rPr>
        <w:t xml:space="preserve">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 района Кировской области (далее - Положение), утвержденное решением Каксинвайской сельской Думы от 06.05.2014 № 27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 (с изменениями, внесенными решениями Каксинвайской сельской Думы от 05.05.2015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23, 24.06.2015 № 33, 22.09.2015 № 48,11.12.2015 №60, 17.03.2016 №15, 20.07.2017 №38), изменения согласно приложению.</w:t>
      </w:r>
      <w:proofErr w:type="gramEnd"/>
    </w:p>
    <w:p w:rsidR="006D4FB6" w:rsidRDefault="006D4FB6" w:rsidP="006D4FB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6D4FB6" w:rsidRDefault="006D4FB6" w:rsidP="006D4F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опубликования.</w:t>
      </w: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Я.А. Мухлисов</w:t>
      </w:r>
    </w:p>
    <w:p w:rsidR="006D4FB6" w:rsidRDefault="006D4FB6" w:rsidP="006D4FB6">
      <w:pPr>
        <w:pStyle w:val="ConsPlusNormal"/>
        <w:widowControl/>
        <w:ind w:right="175" w:firstLine="0"/>
      </w:pPr>
    </w:p>
    <w:p w:rsidR="006D4FB6" w:rsidRDefault="006D4FB6" w:rsidP="006D4FB6">
      <w:pPr>
        <w:pStyle w:val="a4"/>
        <w:rPr>
          <w:color w:val="000000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tbl>
      <w:tblPr>
        <w:tblW w:w="3812" w:type="dxa"/>
        <w:tblInd w:w="6345" w:type="dxa"/>
        <w:tblLook w:val="04A0"/>
      </w:tblPr>
      <w:tblGrid>
        <w:gridCol w:w="3812"/>
      </w:tblGrid>
      <w:tr w:rsidR="006D4FB6" w:rsidTr="006D4FB6">
        <w:trPr>
          <w:trHeight w:val="2355"/>
        </w:trPr>
        <w:tc>
          <w:tcPr>
            <w:tcW w:w="3812" w:type="dxa"/>
            <w:hideMark/>
          </w:tcPr>
          <w:p w:rsidR="006D4FB6" w:rsidRDefault="006D4FB6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6D4FB6" w:rsidRDefault="006D4FB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6D4FB6" w:rsidRDefault="006D4FB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решением сельской Думы</w:t>
            </w:r>
          </w:p>
          <w:p w:rsidR="006D4FB6" w:rsidRDefault="006D4FB6" w:rsidP="006D4FB6">
            <w:pPr>
              <w:pStyle w:val="ConsPlusTitle"/>
              <w:tabs>
                <w:tab w:val="left" w:pos="65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05.03.2018   № 12</w:t>
            </w:r>
          </w:p>
        </w:tc>
      </w:tr>
    </w:tbl>
    <w:p w:rsidR="006D4FB6" w:rsidRDefault="006D4FB6" w:rsidP="006D4FB6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4FB6" w:rsidRDefault="006D4FB6" w:rsidP="006D4FB6">
      <w:pPr>
        <w:pStyle w:val="ConsPlusTitle"/>
        <w:widowControl/>
        <w:jc w:val="center"/>
      </w:pPr>
    </w:p>
    <w:p w:rsidR="006D4FB6" w:rsidRDefault="006D4FB6" w:rsidP="006D4FB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6D4FB6" w:rsidRDefault="006D4FB6" w:rsidP="006D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Положении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 района Кировской области</w:t>
      </w:r>
    </w:p>
    <w:p w:rsidR="006D4FB6" w:rsidRDefault="006D4FB6" w:rsidP="006D4FB6">
      <w:pPr>
        <w:jc w:val="center"/>
        <w:rPr>
          <w:b/>
          <w:sz w:val="28"/>
          <w:szCs w:val="28"/>
        </w:rPr>
      </w:pP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1.1. В разделе 2 «Формы и порядок осуществления полномочий выборного лица местного самоуправления»: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1.1.1. Подпункты 2.3.4, 2.3.5, 2.3.6 изложить в следующей редакции: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«2.3.4. Депутат, выборное должностное лицо местного самоуправления должны соблюдать ограничения и запреты и исполнять обязанности, которые установлены Федеральным </w:t>
      </w:r>
      <w:hyperlink r:id="rId4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законом</w:t>
        </w:r>
      </w:hyperlink>
      <w:r>
        <w:rPr>
          <w:rFonts w:eastAsia="Calibri"/>
          <w:bCs/>
          <w:sz w:val="28"/>
          <w:szCs w:val="28"/>
          <w:lang w:eastAsia="en-US"/>
        </w:rPr>
        <w:t xml:space="preserve"> от 25.12.2008 № 273-ФЗ «О противодействии коррупции» и  другими федеральными законами.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5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законом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от 25.12.2008 №   273-ФЗ    «О  противодействии   коррупции»,   Федеральным  </w:t>
      </w:r>
      <w:hyperlink r:id="rId6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законом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от  03.12. 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7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законом</w:t>
        </w:r>
      </w:hyperlink>
      <w:r>
        <w:rPr>
          <w:rFonts w:eastAsia="Calibri"/>
          <w:bCs/>
          <w:sz w:val="28"/>
          <w:szCs w:val="28"/>
          <w:lang w:eastAsia="en-US"/>
        </w:rPr>
        <w:t xml:space="preserve"> от 07.05.2013 № 79-ФЗ «О запрете отдельным категориям лиц открывать и иметь счета (вклады</w:t>
      </w:r>
      <w:proofErr w:type="gramEnd"/>
      <w:r>
        <w:rPr>
          <w:rFonts w:eastAsia="Calibri"/>
          <w:bCs/>
          <w:sz w:val="28"/>
          <w:szCs w:val="28"/>
          <w:lang w:eastAsia="en-US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проводится по решению Губернатора Кировской области в порядке, установленном законом Кировской области.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2.3.6 Сведения о доходах, расходах, об имуществе и обязательствах имущественного характера, представленные депутатами, размещаются на официальном сайте Малмыжского района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</w:t>
      </w:r>
      <w:proofErr w:type="gramEnd"/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1.1.2. Дополнить подпунктами 2.3.7 - 2.3.13 следующего содержания: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«2.3.7.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в порядке, установленном нормативными правовыми актами Российской Федерации.</w:t>
      </w:r>
      <w:proofErr w:type="gramEnd"/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2.3.8.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  <w:proofErr w:type="gramEnd"/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2.3.9.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сведения о доходах, расходах, об имуществе и обязательствах имущественного характера представляют Губернатору Кировской области путем направления данных сведений в орган по профилактике коррупционных и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иных правонарушений, определяемый Губернатором Кировской области.</w:t>
      </w:r>
      <w:proofErr w:type="gramEnd"/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2.3.10. Сведения о доходах, расходах, об имуществе и обязательствах имущественного характера представляются по утвержденной Губернатором Кировской области форме справки, заполняемой с использованием специального программного обеспечения.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2.3.11. Граждане, претендующие на замещение муниципальных должностей, представляют сведения о доходах, расходах, об имуществе и обязательствах имущественного характера при назначении (избрании) на должность.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2.3.12. Граждане, замещающие муниципальные должности, представляют сведения о доходах, расходах, об имуществе и обязательствах имущественного характера ежегодно, не позднее 1 апреля года, следующего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за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отчетным.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2.3.13. Копии сведений о доходах, расходах, об имуществе и обязательствах имущественного характера, представляемых лицами, замещающими муниципальные должности, представляются в организационный отдел Малмыжского района в целях размещения данных </w:t>
      </w:r>
      <w:r>
        <w:rPr>
          <w:rFonts w:eastAsia="Calibri"/>
          <w:bCs/>
          <w:sz w:val="28"/>
          <w:szCs w:val="28"/>
          <w:lang w:eastAsia="en-US"/>
        </w:rPr>
        <w:lastRenderedPageBreak/>
        <w:t>сведений на официальном сайте Малмыжского района в информационно-телекоммуникационной сети «Интернет» и представления средствам массовой информации для опубликования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</w:t>
      </w:r>
      <w:proofErr w:type="gramEnd"/>
    </w:p>
    <w:p w:rsidR="006D4FB6" w:rsidRDefault="006D4FB6" w:rsidP="006D4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3 «Гарантии реализации полномочий выборного лица местного самоуправления»:</w:t>
      </w:r>
    </w:p>
    <w:p w:rsidR="006D4FB6" w:rsidRDefault="006D4FB6" w:rsidP="006D4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Подпункт 3.4.2 изложить в 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следующей редакции:</w:t>
      </w:r>
    </w:p>
    <w:p w:rsidR="006D4FB6" w:rsidRDefault="006D4FB6" w:rsidP="006D4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«3.4.2. </w:t>
      </w:r>
      <w:r>
        <w:rPr>
          <w:rFonts w:eastAsia="Calibri"/>
          <w:sz w:val="28"/>
          <w:szCs w:val="28"/>
        </w:rPr>
        <w:t xml:space="preserve">Право на доплату к пенсии имеют лица, замещавшие муниципальную должность не менее одного срока полномочий, установленного уставом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частью </w:t>
      </w:r>
      <w:r>
        <w:rPr>
          <w:rFonts w:eastAsia="Calibri"/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Закона области от 08.07.2008 </w:t>
      </w: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257-ЗО»</w:t>
      </w:r>
      <w:r>
        <w:rPr>
          <w:rFonts w:eastAsia="Calibri"/>
          <w:color w:val="000000"/>
          <w:sz w:val="28"/>
          <w:szCs w:val="28"/>
        </w:rPr>
        <w:t>.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1.2.2. Подпункт </w:t>
      </w:r>
      <w:r>
        <w:rPr>
          <w:rFonts w:eastAsia="Calibri"/>
          <w:bCs/>
          <w:sz w:val="28"/>
          <w:szCs w:val="28"/>
          <w:lang w:eastAsia="en-US"/>
        </w:rPr>
        <w:t>3.4.6 изложить в следующей редакции:</w:t>
      </w:r>
    </w:p>
    <w:p w:rsidR="006D4FB6" w:rsidRDefault="006D4FB6" w:rsidP="006D4FB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«3.4.6. </w:t>
      </w:r>
      <w:proofErr w:type="gramStart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Права на доплату к пенсии не имеют лица, замещавшие муниципальную должность  и прекратившие исполнение своих полномочий по основаниям, предусмотренным </w:t>
      </w:r>
      <w:hyperlink r:id="rId8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абзацем седьмым части 16 статьи 35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9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пунктами 2.1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0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3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1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6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- </w:t>
      </w:r>
      <w:hyperlink r:id="rId12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9 части 6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3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частью 6.1 статьи 36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4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частью 7.1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5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пунктами 5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- </w:t>
      </w:r>
      <w:hyperlink r:id="rId16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8 части 10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7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частью 10.1 статьи 40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hyperlink r:id="rId18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частями 1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и</w:t>
      </w:r>
      <w:proofErr w:type="gram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hyperlink r:id="rId19" w:history="1">
        <w:r>
          <w:rPr>
            <w:rStyle w:val="a3"/>
            <w:rFonts w:eastAsia="Calibri"/>
            <w:bCs/>
            <w:color w:val="000000"/>
            <w:sz w:val="28"/>
            <w:szCs w:val="28"/>
            <w:lang w:eastAsia="en-US"/>
          </w:rPr>
          <w:t>2 статьи 73</w:t>
        </w:r>
      </w:hyperlink>
      <w:r>
        <w:rPr>
          <w:rFonts w:eastAsia="Calibri"/>
          <w:bCs/>
          <w:color w:val="000000"/>
          <w:sz w:val="28"/>
          <w:szCs w:val="28"/>
          <w:lang w:eastAsia="en-US"/>
        </w:rPr>
        <w:t xml:space="preserve"> Федерального закона «Об общих принципах организации местного самоуправления в Российской Федерации».</w:t>
      </w:r>
    </w:p>
    <w:p w:rsidR="006D4FB6" w:rsidRDefault="006D4FB6" w:rsidP="006D4FB6">
      <w:pPr>
        <w:autoSpaceDE w:val="0"/>
        <w:autoSpaceDN w:val="0"/>
        <w:adjustRightInd w:val="0"/>
        <w:ind w:firstLine="540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D4FB6" w:rsidRDefault="006D4FB6" w:rsidP="006D4FB6">
      <w:pPr>
        <w:autoSpaceDE w:val="0"/>
        <w:autoSpaceDN w:val="0"/>
        <w:adjustRightInd w:val="0"/>
        <w:ind w:firstLine="540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D4FB6" w:rsidRDefault="006D4FB6" w:rsidP="006D4FB6">
      <w:pPr>
        <w:outlineLvl w:val="0"/>
        <w:rPr>
          <w:b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                           ____________</w:t>
      </w:r>
      <w:r>
        <w:rPr>
          <w:b/>
          <w:sz w:val="28"/>
          <w:szCs w:val="28"/>
        </w:rPr>
        <w:t xml:space="preserve">            </w:t>
      </w: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6D4FB6" w:rsidRDefault="006D4FB6" w:rsidP="006D4FB6">
      <w:pPr>
        <w:rPr>
          <w:sz w:val="28"/>
          <w:szCs w:val="28"/>
        </w:rPr>
      </w:pPr>
    </w:p>
    <w:p w:rsidR="00713FC4" w:rsidRPr="006D4FB6" w:rsidRDefault="00713FC4">
      <w:pPr>
        <w:rPr>
          <w:sz w:val="28"/>
          <w:szCs w:val="28"/>
        </w:rPr>
      </w:pPr>
    </w:p>
    <w:sectPr w:rsidR="00713FC4" w:rsidRPr="006D4FB6" w:rsidSect="0071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FB6"/>
    <w:rsid w:val="006D4FB6"/>
    <w:rsid w:val="0071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FB6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6D4F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4F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D4F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4FB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a4">
    <w:name w:val="Базовый"/>
    <w:rsid w:val="006D4FB6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ConsPlusNonformat">
    <w:name w:val="ConsPlusNonformat"/>
    <w:rsid w:val="006D4F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B40D0FE15161DCCBF01D45ED75399B60B0439570E2F561A8AD8FFA9DEA566C8D80790503F35DFECF7I" TargetMode="External"/><Relationship Id="rId13" Type="http://schemas.openxmlformats.org/officeDocument/2006/relationships/hyperlink" Target="consultantplus://offline/ref=CA3B40D0FE15161DCCBF01D45ED75399B60B0439570E2F561A8AD8FFA9DEA566C8D80790503F35D9ECFFI" TargetMode="External"/><Relationship Id="rId18" Type="http://schemas.openxmlformats.org/officeDocument/2006/relationships/hyperlink" Target="consultantplus://offline/ref=CA3B40D0FE15161DCCBF01D45ED75399B60B0439570E2F561A8AD8FFA9DEA566C8D80790503E30D6ECF7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C855CE04ADFB479FBD7F348927E32F570222CA4A586F21724D0EE0B11RDADI" TargetMode="External"/><Relationship Id="rId12" Type="http://schemas.openxmlformats.org/officeDocument/2006/relationships/hyperlink" Target="consultantplus://offline/ref=CA3B40D0FE15161DCCBF01D45ED75399B60B0439570E2F561A8AD8FFA9DEA566C8D80790503E33D8ECFDI" TargetMode="External"/><Relationship Id="rId17" Type="http://schemas.openxmlformats.org/officeDocument/2006/relationships/hyperlink" Target="consultantplus://offline/ref=CA3B40D0FE15161DCCBF01D45ED75399B60B0439570E2F561A8AD8FFA9DEA566C8D8079757E3FA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A3B40D0FE15161DCCBF01D45ED75399B60B0439570E2F561A8AD8FFA9DEA566C8D80790503E32DCECFC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855CE04ADFB479FBD7F348927E32F5732B24A7A684F21724D0EE0B11RDADI" TargetMode="External"/><Relationship Id="rId11" Type="http://schemas.openxmlformats.org/officeDocument/2006/relationships/hyperlink" Target="consultantplus://offline/ref=CA3B40D0FE15161DCCBF01D45ED75399B60B0439570E2F561A8AD8FFA9DEA566C8D80790503E33D8ECFEI" TargetMode="External"/><Relationship Id="rId5" Type="http://schemas.openxmlformats.org/officeDocument/2006/relationships/hyperlink" Target="consultantplus://offline/ref=9C855CE04ADFB479FBD7F348927E32F5702225A6A786F21724D0EE0B11RDADI" TargetMode="External"/><Relationship Id="rId15" Type="http://schemas.openxmlformats.org/officeDocument/2006/relationships/hyperlink" Target="consultantplus://offline/ref=CA3B40D0FE15161DCCBF01D45ED75399B60B0439570E2F561A8AD8FFA9DEA566C8D80790503E32DFECF7I" TargetMode="External"/><Relationship Id="rId10" Type="http://schemas.openxmlformats.org/officeDocument/2006/relationships/hyperlink" Target="consultantplus://offline/ref=CA3B40D0FE15161DCCBF01D45ED75399B60B0439570E2F561A8AD8FFA9DEA566C8D80790503E33DBECF9I" TargetMode="External"/><Relationship Id="rId19" Type="http://schemas.openxmlformats.org/officeDocument/2006/relationships/hyperlink" Target="consultantplus://offline/ref=CA3B40D0FE15161DCCBF01D45ED75399B60B0439570E2F561A8AD8FFA9DEA566C8D80790503E30D7ECFEI" TargetMode="External"/><Relationship Id="rId4" Type="http://schemas.openxmlformats.org/officeDocument/2006/relationships/hyperlink" Target="consultantplus://offline/ref=9C855CE04ADFB479FBD7F348927E32F5702225A6A786F21724D0EE0B11RDADI" TargetMode="External"/><Relationship Id="rId9" Type="http://schemas.openxmlformats.org/officeDocument/2006/relationships/hyperlink" Target="consultantplus://offline/ref=CA3B40D0FE15161DCCBF01D45ED75399B60B0439570E2F561A8AD8FFA9DEA566C8D80790503F36DBECF7I" TargetMode="External"/><Relationship Id="rId14" Type="http://schemas.openxmlformats.org/officeDocument/2006/relationships/hyperlink" Target="consultantplus://offline/ref=CA3B40D0FE15161DCCBF01D45ED75399B60B0439570E2F561A8AD8FFA9DEA566C8D8079757E3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1549</Words>
  <Characters>8834</Characters>
  <Application>Microsoft Office Word</Application>
  <DocSecurity>0</DocSecurity>
  <Lines>73</Lines>
  <Paragraphs>20</Paragraphs>
  <ScaleCrop>false</ScaleCrop>
  <Company>Microsoft</Company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2018-03-05T10:26:00Z</dcterms:created>
  <dcterms:modified xsi:type="dcterms:W3CDTF">2018-03-05T10:28:00Z</dcterms:modified>
</cp:coreProperties>
</file>