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КАЛИНИНСКАЯ СЕЛЬСКАЯ ДУМА       </w:t>
      </w:r>
    </w:p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Третьего созыва       </w:t>
      </w:r>
    </w:p>
    <w:p w:rsidR="0082614F" w:rsidRPr="0082614F" w:rsidRDefault="0082614F" w:rsidP="0082614F">
      <w:pPr>
        <w:keepNext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2614F" w:rsidRPr="0082614F" w:rsidRDefault="0082614F" w:rsidP="0082614F">
      <w:pPr>
        <w:keepNext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РЕШЕНИЕ</w:t>
      </w:r>
    </w:p>
    <w:p w:rsidR="0082614F" w:rsidRPr="0082614F" w:rsidRDefault="00423A05" w:rsidP="0082614F">
      <w:pPr>
        <w:keepNext/>
        <w:tabs>
          <w:tab w:val="center" w:pos="4656"/>
        </w:tabs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25.03.2016                          </w:t>
      </w:r>
      <w:r w:rsidR="008261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</w:t>
      </w:r>
    </w:p>
    <w:p w:rsidR="0082614F" w:rsidRPr="0082614F" w:rsidRDefault="0082614F" w:rsidP="0082614F">
      <w:pPr>
        <w:keepNext/>
        <w:tabs>
          <w:tab w:val="center" w:pos="4656"/>
        </w:tabs>
        <w:spacing w:before="240" w:after="60" w:line="48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 Калинино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14F" w:rsidRDefault="0082614F" w:rsidP="0082614F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назначении публичных слушаний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82614F" w:rsidRPr="0082614F" w:rsidRDefault="0082614F" w:rsidP="0082614F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исполнения бюджета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2015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16 Устава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области, Калининская сельская Дума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слушаний, по проекту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Калининского сельского поселения.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Карадуганова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25.04.2016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порядок учета предложений по проекту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порядок учета граждан в его обсуждении, путем вывешивания в общественных местах на стендах.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27.04.2016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="00423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614F" w:rsidRDefault="00423A05" w:rsidP="00423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Н.П. </w:t>
      </w:r>
      <w:proofErr w:type="spellStart"/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3A05" w:rsidRPr="00423A05" w:rsidRDefault="00423A05" w:rsidP="00423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</w:t>
      </w: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Калининской сельской Думы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 № _____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ПОРЯДОК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учета предложений по проекту исполнения бюджета муниципального образования  Калини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 участия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бюджета муниципального образования Калини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граждан в его обсуждении.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Предложения по проекту исполнения бюджета муниципального образования Калини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могут вноситься гражданами, постоянно проживающими на территории поселения и обладающими активным избирательным правом.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Гражданин (группа граждан) оформляет предложения по проекту исполнения бюджета муниципального образования Калини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форме, согласно приложению 1, и направляет их в сельскую Думу с приложением сведений по форме, согласно приложению 2.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Депутаты сельской Думы вносят предложения по проекту исполнения бюджета муниципального образования Калини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порядке, предусмотренном Регламентом сельской Думы.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5.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Сельская Дума принимает предложения по проекту исполнения бюджета муниципального образования Калини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д.51а, тел. 2-61-48, факс 2-61-47, в письменном виде по обычной почте, а так же иными способами.</w:t>
      </w:r>
      <w:proofErr w:type="gramEnd"/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Pr="0082614F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Приложение 1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к Порядку учета предложений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проекту исполнения бюджета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муниципального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образования Калининское сельское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поселение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исполнения бюджета муниципального образования Калинин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 сельское поселение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 xml:space="preserve">№ </w:t>
            </w:r>
            <w:proofErr w:type="gramStart"/>
            <w:r w:rsidRPr="0082614F">
              <w:rPr>
                <w:sz w:val="28"/>
                <w:szCs w:val="28"/>
              </w:rPr>
              <w:t>п</w:t>
            </w:r>
            <w:proofErr w:type="gramEnd"/>
            <w:r w:rsidRPr="0082614F"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</w:t>
            </w:r>
            <w:proofErr w:type="gramStart"/>
            <w:r w:rsidRPr="0082614F">
              <w:rPr>
                <w:sz w:val="28"/>
                <w:szCs w:val="28"/>
              </w:rPr>
              <w:t>кст пр</w:t>
            </w:r>
            <w:proofErr w:type="gramEnd"/>
            <w:r w:rsidRPr="0082614F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</w:t>
            </w:r>
            <w:proofErr w:type="gramStart"/>
            <w:r w:rsidRPr="0082614F">
              <w:rPr>
                <w:sz w:val="28"/>
                <w:szCs w:val="28"/>
              </w:rPr>
              <w:t>кст пр</w:t>
            </w:r>
            <w:proofErr w:type="gramEnd"/>
            <w:r w:rsidRPr="0082614F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Кем внесена поправка</w:t>
            </w:r>
          </w:p>
        </w:tc>
      </w:tr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</w:t>
      </w:r>
    </w:p>
    <w:p w:rsidR="0082614F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Приложение 2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 Порядку учета предложений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проекту исполнения бюджета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муниципального образования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Калининское сельское поселение      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и участия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СВЕДЕНИЯ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 гражданине, внесшем предложения по проекту исполнения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бюджета муниципального образования Калининское сельское поселение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за 2015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*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>* если предложение вносится группой граждан, сведения указываются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26A5" w:rsidRDefault="00AE26A5"/>
    <w:p w:rsidR="00CC6775" w:rsidRDefault="00CC6775"/>
    <w:p w:rsidR="00CC6775" w:rsidRDefault="00CC6775"/>
    <w:p w:rsidR="00CC6775" w:rsidRDefault="00CC6775"/>
    <w:p w:rsidR="00CC6775" w:rsidRDefault="00CC6775"/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КАЛИНИНСКАЯ СЕЛЬСКАЯ ДУМА </w:t>
      </w: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C67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77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(ПРОЕКТ)</w:t>
      </w: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Калинино</w:t>
      </w: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7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                                                                                                                №____</w:t>
      </w: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отчета об исполнении Бюджета за 2015 год</w:t>
      </w:r>
    </w:p>
    <w:p w:rsidR="00CC6775" w:rsidRPr="00CC6775" w:rsidRDefault="00CC6775" w:rsidP="00CC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hd w:val="clear" w:color="auto" w:fill="FFFFFF"/>
        <w:spacing w:before="19"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Уставом муниципального образования Калининское сельское поселение </w:t>
      </w:r>
      <w:proofErr w:type="spellStart"/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области, Положением «О бюджетном процессе в Калининском сельском поселении» и заслушав информацию главного специалиста   по финансам и бухгалтерскому  учету администрации Калининского сельского поселения об исполнении бюджета муниципального образования за 2015 год, Калининская сельская Дума РЕШИЛА:</w:t>
      </w:r>
      <w:r w:rsidRPr="00CC6775"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 xml:space="preserve">    </w:t>
      </w:r>
      <w:proofErr w:type="gramEnd"/>
    </w:p>
    <w:p w:rsidR="00CC6775" w:rsidRPr="00CC6775" w:rsidRDefault="00CC6775" w:rsidP="00CC6775">
      <w:pPr>
        <w:shd w:val="clear" w:color="auto" w:fill="FFFFFF"/>
        <w:spacing w:before="19"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CC6775"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 xml:space="preserve">         1.1.</w:t>
      </w:r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 Утвердить</w:t>
      </w: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 бюджета</w:t>
      </w:r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муниципального образования Калининское сельское поселение </w:t>
      </w:r>
      <w:proofErr w:type="spellStart"/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Малмыжского</w:t>
      </w:r>
      <w:proofErr w:type="spellEnd"/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района Кировской области  (далее бюджет поселения)    за   2015 год </w:t>
      </w:r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ab/>
        <w:t>и его основные характеристики</w:t>
      </w:r>
      <w:proofErr w:type="gramStart"/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:</w:t>
      </w:r>
      <w:proofErr w:type="gramEnd"/>
    </w:p>
    <w:p w:rsidR="00CC6775" w:rsidRPr="00CC6775" w:rsidRDefault="00CC6775" w:rsidP="00CC6775">
      <w:pPr>
        <w:shd w:val="clear" w:color="auto" w:fill="FFFFFF"/>
        <w:spacing w:before="19"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1) общий объем доходов бюджета поселения в сумме  12270,1 тыс. рублей;</w:t>
      </w:r>
    </w:p>
    <w:p w:rsidR="00CC6775" w:rsidRPr="00CC6775" w:rsidRDefault="00CC6775" w:rsidP="00CC6775">
      <w:pPr>
        <w:shd w:val="clear" w:color="auto" w:fill="FFFFFF"/>
        <w:spacing w:before="19"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2) общий объем расходов бюджета поселения в сумме 12572,2 тыс. рублей;</w:t>
      </w:r>
    </w:p>
    <w:p w:rsidR="00CC6775" w:rsidRPr="00CC6775" w:rsidRDefault="00CC6775" w:rsidP="00CC6775">
      <w:pPr>
        <w:shd w:val="clear" w:color="auto" w:fill="FFFFFF"/>
        <w:spacing w:before="19"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CC6775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3) дефицит бюджета поселения 302,1 тыс. рублей.  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1.2. Перечень доходов бюджета поселения по кодам классификации доходов бюджета </w:t>
      </w:r>
      <w:r w:rsidR="0080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1.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1.3. Перечень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</w:t>
      </w:r>
      <w:r w:rsidRPr="00CC677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80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2.</w:t>
      </w: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1.4. Расходов бюджета поселения на реализацию муниципальных программ сельского поселения </w:t>
      </w:r>
      <w:r w:rsidR="0080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3.</w:t>
      </w: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1.5. Распределение бюджетных ассигнований по разделам и подразделам классификации расходов бюджета поселения </w:t>
      </w:r>
      <w:r w:rsidR="0080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4.</w:t>
      </w: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1.6. Расходы бюджета поселения по ведомственной структуре расходов бюджета поселения </w:t>
      </w:r>
      <w:r w:rsidR="0080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5.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1.7. Перечень </w:t>
      </w:r>
      <w:proofErr w:type="gramStart"/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 поселения</w:t>
      </w:r>
      <w:proofErr w:type="gramEnd"/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бюджетов </w:t>
      </w:r>
      <w:r w:rsidR="0080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6.</w:t>
      </w: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1.8. Перечень </w:t>
      </w:r>
      <w:proofErr w:type="gramStart"/>
      <w:r w:rsidRPr="00CC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 финансирования дефицита бюджета поселения</w:t>
      </w:r>
      <w:proofErr w:type="gramEnd"/>
      <w:r w:rsidRPr="00CC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кодам групп, подгрупп, статей, видов 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дефицита бюджета поселения </w:t>
      </w:r>
      <w:r w:rsidR="0080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7</w:t>
      </w: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775" w:rsidRPr="00CC6775" w:rsidRDefault="00CC6775" w:rsidP="00CC67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Опубликовать настоящее решение с приложениями № 1,2,3,4,5,6,7 в Информационном бюллетене органов местного самоуправления Калининского сельского поселения в официальных средствах массовой информации.</w:t>
      </w:r>
    </w:p>
    <w:p w:rsidR="00CC6775" w:rsidRP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75" w:rsidRP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поселения,</w:t>
      </w:r>
    </w:p>
    <w:p w:rsidR="00CC6775" w:rsidRPr="00CC6775" w:rsidRDefault="00CC6775" w:rsidP="00CC6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сельской Думы    Н.П.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  <w:r w:rsidRPr="00CC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75" w:rsidRP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Pr="00CC6775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P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Pr="00A04334" w:rsidRDefault="00A04334" w:rsidP="00A04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0433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Отчет об исполнении</w:t>
      </w:r>
    </w:p>
    <w:p w:rsidR="00A04334" w:rsidRPr="00A04334" w:rsidRDefault="00A04334" w:rsidP="00A04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0433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Бюджета администрации Калининского сельского поселения</w:t>
      </w:r>
    </w:p>
    <w:p w:rsidR="00A04334" w:rsidRPr="00A04334" w:rsidRDefault="00A04334" w:rsidP="00A04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0433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  2015 год.</w:t>
      </w:r>
    </w:p>
    <w:p w:rsidR="00A04334" w:rsidRPr="00A04334" w:rsidRDefault="00A04334" w:rsidP="00A04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043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(проект)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Первоначальный план бюджета муниципального образования Калининское  сельское поселение </w:t>
      </w:r>
      <w:proofErr w:type="spell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на 2015 год утвержден в сумме 11827900 рублей. В течение года в бюджет поселения были внесены поправки в сторону увеличения  на сумму 442128 рублей, в том числе по налоговым и неналоговым доходам  на сумму 507700 рублей.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поступлений бюджета поселения составил 12394195,07 рублей или 101 % к уточненному годовому 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составил 12270028 рублей.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Фактическое поступление налоговых доходов поселения составило 3448312,45 рублей или 103,3 % к уточненному плану по налоговым доходам, в том числе по налогу на доходы физических</w:t>
      </w:r>
      <w:r w:rsidRPr="00A04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 943138,19 рублей или 107,1 %, по налогу на товары (</w:t>
      </w:r>
      <w:proofErr w:type="spell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</w:t>
      </w:r>
      <w:proofErr w:type="spell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реализуемые на территории РФ (акцизы по подакцизным </w:t>
      </w:r>
      <w:proofErr w:type="spell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товарам,производимым</w:t>
      </w:r>
      <w:proofErr w:type="spell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РФ) – 754431,94 рублей или  104,8 % , налог на имущество физических лиц – 687928,07 рублей или 100,2 %, единый сельскохозяйственный налог – 16068,50 рублей или 99,8 %, земельный налог – 1025495,75 рублей или 101,1 %, государственная пошлина за совершение нотариальных действий -21250,00 рублей или 102,7 % . Поступление неналоговых доходов составило 317455,42 рублей или 104,8 % к уточненному плану по неналоговым доходам, в том числе доходы от использования имущества 19264,60 рублей или 140,6 % к уточненному плану, доходы от оказания платных услу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г(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работ)получателями средств бюджетов поселений составили 64340 рублей или 100,1% к уточненному плану,    доходы от продажи материальных и нематериальных активов -225092,82 рубля, или 100,4% к уточненному плану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неналоговые доходы  составили 8758 рублей. Сумма безвозмездных поступлений составила 8628427,20 рублей из них: дотации бюджетам поселений на выравнивание бюджетной обеспеченности – 1120500 рублей или 100 % к уточненному плану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мер по обеспечению сбалансированности бюджетов – 2744900 рублей или 100 % к уточненному плану , прочие субсидии бюджетам сельских поселений – 4560357,20 или 100 %, субвенции бюджетам поселений на осуществление первичного воинского учета, где отсутствуют военные комиссариаты -163350 рублей или 100 % к уточненному плану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межбюджетные трансферты, передаваемые бюджетам сельских поселений – 24320 рублей или 100 % к уточненному плану. 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учетом изменений, вносимых в течени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 Калининской сельской Думой, бюджетные ассигнования утверждены в сумме 12572182,20 рублей. 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Исполнение бюджета по расходам за 2015 год составляет 12500179,59 рублей или  99,4 % к утвержденным бюджетным назначениям.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разделу «Общегосударственные вопросы» расходы профинансированы на 98,6% и выразились в сумме  3434229,36 рублей, из них: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- на содержание главы администрации направлено 344988,54 рубля;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расходы на содержание администрации составили 1606741,20 рублей;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на финансирование расходов по обеспечению деятельности подведомственных учреждений направлено 1482499,62 рубля.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Расходы по разделу «Национальная оборона» составили 163350 рублей или  и направлены на содержание ВУС.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Расходы по разделу «Национальная экономика» выразились в сумме 706614,44 рублей или 96,7 % от плановых назначений. Расходы в сумме 695804,44 рубля направлены на содержание дорожного хозяйства, 10810 рублей – на другие вопросы в области национальной экономики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Раздел «Жилищно-коммунальное хозяйство» профинансирован в сумме 5536065,79 рублей или 99,9 % к годовым назначениям. Расходы  по подразделу 0501 составили 6569,16 и направлены на оплату взносов в фонд капитального ремонта имущества многоквартирных домов, по подразделу 0502 расходы составили  5463126,49 рублей и направлены на расходы по реконструкции водопровода в </w:t>
      </w:r>
      <w:proofErr w:type="spell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.К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алинино</w:t>
      </w:r>
      <w:proofErr w:type="spellEnd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 разделу 0503 – 66370,14 рублей, из них расходы по уличному освещению – 38209,56 рублей, на прочие мероприятия по благоустройству – 28160,58 рублей.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разделу «Культура и кинематография» расходы составили 2634600 рублей или 100 % к утвержденному плану. Расходы направлены на содержание домов Культуры в село Калинино, деревня </w:t>
      </w:r>
      <w:proofErr w:type="gram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Старый</w:t>
      </w:r>
      <w:proofErr w:type="gramEnd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Буртек</w:t>
      </w:r>
      <w:proofErr w:type="spellEnd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сельских клубов в деревнях </w:t>
      </w:r>
      <w:proofErr w:type="spell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Нослы</w:t>
      </w:r>
      <w:proofErr w:type="spellEnd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село </w:t>
      </w:r>
      <w:proofErr w:type="spellStart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Дерюшево</w:t>
      </w:r>
      <w:proofErr w:type="spellEnd"/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3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разделу «Социальная политика» на пенсионное обеспечение израсходовано 25320 рублей и направлено на выплаты пенсий муниципальным служащим. </w:t>
      </w: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04334" w:rsidRPr="00A04334" w:rsidRDefault="00A04334" w:rsidP="00A04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75" w:rsidRP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334" w:rsidRPr="00CC6775" w:rsidRDefault="00A04334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9FE" w:rsidRDefault="00FE19FE" w:rsidP="00FE19FE">
      <w:pPr>
        <w:spacing w:after="0" w:line="240" w:lineRule="auto"/>
        <w:ind w:left="6663" w:hanging="720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E19F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                                                                                                    </w:t>
      </w:r>
    </w:p>
    <w:p w:rsidR="00FE19FE" w:rsidRDefault="00FE19FE" w:rsidP="00FE19FE">
      <w:pPr>
        <w:spacing w:after="0" w:line="240" w:lineRule="auto"/>
        <w:ind w:left="6663" w:hanging="72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  </w:t>
      </w:r>
      <w:r w:rsidRPr="00FE19F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</w:t>
      </w:r>
      <w:r w:rsidRPr="00FE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FE19FE" w:rsidRPr="00FE19FE" w:rsidRDefault="00FE19FE" w:rsidP="00FE19FE">
      <w:pPr>
        <w:spacing w:after="0" w:line="240" w:lineRule="auto"/>
        <w:ind w:left="6663" w:hanging="72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FE19FE" w:rsidRDefault="00FE19FE" w:rsidP="00FE19FE">
      <w:pPr>
        <w:spacing w:after="0" w:line="240" w:lineRule="auto"/>
        <w:ind w:left="6096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 сельской Думы </w:t>
      </w:r>
      <w:r w:rsidRPr="00FE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19FE" w:rsidRPr="00FE19FE" w:rsidRDefault="00FE19FE" w:rsidP="00FE19FE">
      <w:pPr>
        <w:spacing w:after="0" w:line="240" w:lineRule="auto"/>
        <w:ind w:left="6096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FE1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 ____</w:t>
      </w:r>
      <w:r w:rsidRPr="00FE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E19FE" w:rsidRPr="00FE19FE" w:rsidRDefault="00FE19FE" w:rsidP="00FE19FE">
      <w:pPr>
        <w:spacing w:after="0" w:line="240" w:lineRule="auto"/>
        <w:ind w:left="666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E19FE" w:rsidRPr="00FE19FE" w:rsidRDefault="00FE19FE" w:rsidP="00FE19FE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FE1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                                                                                 </w:t>
      </w:r>
    </w:p>
    <w:p w:rsidR="00FE19FE" w:rsidRPr="00FE19FE" w:rsidRDefault="00FE19FE" w:rsidP="00FE19FE">
      <w:pPr>
        <w:keepNext/>
        <w:spacing w:after="0" w:line="240" w:lineRule="auto"/>
        <w:ind w:left="284" w:right="-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E19F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доходов  бюджета поселения  по кодам классификации доходов бюджета поселения</w:t>
      </w:r>
    </w:p>
    <w:p w:rsidR="00FE19FE" w:rsidRPr="00FE19FE" w:rsidRDefault="00FE19FE" w:rsidP="00FE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9FE" w:rsidRPr="00FE19FE" w:rsidRDefault="00FE19FE" w:rsidP="00FE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56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398"/>
        <w:gridCol w:w="905"/>
        <w:gridCol w:w="166"/>
        <w:gridCol w:w="696"/>
        <w:gridCol w:w="576"/>
        <w:gridCol w:w="781"/>
        <w:gridCol w:w="3282"/>
        <w:gridCol w:w="949"/>
        <w:gridCol w:w="131"/>
        <w:gridCol w:w="483"/>
        <w:gridCol w:w="276"/>
        <w:gridCol w:w="905"/>
        <w:gridCol w:w="236"/>
      </w:tblGrid>
      <w:tr w:rsidR="00FE19FE" w:rsidRPr="00FE19FE" w:rsidTr="00A61902">
        <w:trPr>
          <w:gridBefore w:val="2"/>
          <w:wBefore w:w="470" w:type="pct"/>
          <w:trHeight w:val="63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</w:t>
            </w:r>
          </w:p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администратора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0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администратора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184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Муниципальное казенное учреждение администрация Калининского  сельского  поселения </w:t>
            </w:r>
            <w:proofErr w:type="spellStart"/>
            <w:r w:rsidRPr="00FE19F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Малмыжского</w:t>
            </w:r>
            <w:proofErr w:type="spellEnd"/>
            <w:r w:rsidRPr="00FE19F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района Кировской области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1 08 04020 01 1000 110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1 11 09035 10 0000 120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имущества</w:t>
            </w:r>
            <w:proofErr w:type="gramEnd"/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дорог, находящихся в собственности поселений 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казенных)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компенсации затрат бюджетов поселений 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возмещение ущерба, зачисляемые в бюджеты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5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поселения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47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неналоговые доходы  бюджетов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76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1 17 14030100000180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354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47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64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субсидии бюджетам поселений 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47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47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2 02 03024 10 0000 151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 поселений на выполнение отдельных государственных полномочий субъектов российской Федерации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313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передаваемые бюджетам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47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2 04 05099 10 0000 180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47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2 07 05010 10 0000 180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47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2 07 05020 10 0000 180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получателями средств бюджетов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217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2 07 05030 10 0000 180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FE19FE" w:rsidRPr="00FE19FE" w:rsidTr="00A61902">
        <w:trPr>
          <w:gridBefore w:val="2"/>
          <w:wBefore w:w="470" w:type="pct"/>
          <w:cantSplit/>
          <w:trHeight w:val="47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302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FE19FE" w:rsidRPr="00FE19FE" w:rsidRDefault="00FE19FE" w:rsidP="00FE1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4"/>
          <w:gridAfter w:val="5"/>
          <w:wBefore w:w="987" w:type="pct"/>
          <w:wAfter w:w="980" w:type="pct"/>
          <w:trHeight w:val="36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4334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334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1902" w:rsidRPr="00A61902" w:rsidRDefault="00A04334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</w:t>
            </w:r>
            <w:r w:rsidR="00A61902" w:rsidRPr="00A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№2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78" w:type="pct"/>
          <w:wAfter w:w="114" w:type="pct"/>
          <w:trHeight w:val="360"/>
        </w:trPr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к решению сельской Думы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58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от ________________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930"/>
        </w:trPr>
        <w:tc>
          <w:tcPr>
            <w:tcW w:w="488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9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</w:t>
            </w:r>
          </w:p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20"/>
        </w:trPr>
        <w:tc>
          <w:tcPr>
            <w:tcW w:w="16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выполнения годового плана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3641,6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3765,8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103,3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880,8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107,1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4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1010200001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880,8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107,1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4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СЛУГИ),РЕАЛИЗУЕМЫЕ НА ТЕРРИТОРИИ РОССИЙСКОЙ ФЕДЕРАЦИИ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719,7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104,8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4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1030200000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продукции), производимым на территории Российской Федерации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719,7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104,8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4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1050300001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1701,3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1713,4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100,7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 на имущество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иц</w:t>
            </w:r>
            <w:proofErr w:type="spellEnd"/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686,6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687,9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100,2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1025,5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101,1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102,7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1080400001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99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140,8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14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100,7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14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14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поступления от использования имущества и прав, находящихся в государственной и муниципальной собственност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9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4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реализации имущества,  в государственной и </w:t>
            </w: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муниципальной собственност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225,0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6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8628,5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8628,4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8613,5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8613,4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9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2020100000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3865,4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3865,4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9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2020100100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выравниваие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бюджетной обеспеченности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1120,5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1120,5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9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2020100110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на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выравниваие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бюджетной обеспеченности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1120,5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1120,5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527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2020100300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2744,9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2744,9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2020100310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2744,9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2744,9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2020200000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Субсидии бюджетам бюджетной системы Российской Федераци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межбюджетные субсидии)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4560,4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4560,3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2020299910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4560,4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4560,3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2020300000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85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2020301500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2020301510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2020400000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2020499910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2070000000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73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2070503010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61902" w:rsidRPr="00A61902" w:rsidTr="00A61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4" w:type="pct"/>
          <w:trHeight w:val="36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tabs>
                <w:tab w:val="left" w:pos="592"/>
              </w:tabs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12270,1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12394,2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101,0</w:t>
            </w:r>
          </w:p>
        </w:tc>
      </w:tr>
    </w:tbl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9FE" w:rsidRPr="00FE19FE" w:rsidRDefault="00FE19FE" w:rsidP="00FE19F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04334" w:rsidRDefault="00A61902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A04334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</w:t>
      </w:r>
      <w:r w:rsidR="00A61902"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Приложение № 4</w:t>
      </w:r>
    </w:p>
    <w:p w:rsidR="00A04334" w:rsidRPr="00A61902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61902" w:rsidP="00A61902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к решению сельской Думы</w:t>
      </w:r>
    </w:p>
    <w:p w:rsidR="00A61902" w:rsidRPr="00A61902" w:rsidRDefault="00A61902" w:rsidP="00A61902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A61902" w:rsidRPr="00A61902" w:rsidRDefault="00A61902" w:rsidP="00A61902">
      <w:pPr>
        <w:tabs>
          <w:tab w:val="left" w:pos="536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_______________ № ____</w:t>
      </w: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</w:t>
      </w: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A61902" w:rsidRPr="00A61902" w:rsidRDefault="00A61902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</w:t>
      </w: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на 2015 год</w:t>
      </w:r>
    </w:p>
    <w:p w:rsidR="00A61902" w:rsidRPr="00A61902" w:rsidRDefault="00A61902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08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2"/>
        <w:gridCol w:w="783"/>
        <w:gridCol w:w="496"/>
        <w:gridCol w:w="574"/>
        <w:gridCol w:w="1196"/>
        <w:gridCol w:w="636"/>
        <w:gridCol w:w="1214"/>
        <w:gridCol w:w="1144"/>
      </w:tblGrid>
      <w:tr w:rsidR="00A61902" w:rsidRPr="00A61902" w:rsidTr="00A61902">
        <w:trPr>
          <w:trHeight w:val="407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администратора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A61902" w:rsidRPr="00A61902" w:rsidTr="00A61902">
        <w:trPr>
          <w:trHeight w:val="696"/>
        </w:trPr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12572,2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12500,2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3481,7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3434,2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правительства Российской Федерации,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1637,4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1606,8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1446,4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1499,1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1482,5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129,9</w:t>
            </w:r>
          </w:p>
        </w:tc>
      </w:tr>
      <w:tr w:rsidR="00A61902" w:rsidRPr="00A61902" w:rsidTr="00A61902">
        <w:trPr>
          <w:trHeight w:val="7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хозяйственного обслуживания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730,5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706,6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фонды)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дорожного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0100501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0100501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Другие вопросы в области национальной экономики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Иные межбюджетные трансферты бюджету муниципального района из бюджетов поселений на осуществление </w:t>
            </w: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части переданных полномочий  по решению вопросов местного значения поселения в отношении невостребованных земельных долей и (или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)з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емельных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долей,от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права собственности на которые граждане отказались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5536,7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5536,1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жилищного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5463,1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902,7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инвестиционных проектов по модернизации объектов коммунальной инфраструктуры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инвестиционных проектов по модернизации объектов коммунальной инфраструктуры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в области коммунального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0101500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</w:tr>
      <w:tr w:rsidR="00A61902" w:rsidRPr="00A61902" w:rsidTr="00A61902">
        <w:trPr>
          <w:trHeight w:val="2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реализацию инвестиционных проектов по модернизации объектов коммунальной инфраструктур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</w:t>
            </w: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или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реконструкция,замена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модернизация,строительство,приобретение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технологического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оборудования,выполнение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проектных работ)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0101525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</w:tr>
      <w:tr w:rsidR="00A61902" w:rsidRPr="00A61902" w:rsidTr="00A61902">
        <w:trPr>
          <w:trHeight w:val="38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государственно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муниципальной) собственности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0101525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</w:tr>
      <w:tr w:rsidR="00A61902" w:rsidRPr="00A61902" w:rsidTr="00A61902">
        <w:trPr>
          <w:trHeight w:val="38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Благоустройство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</w:tr>
      <w:tr w:rsidR="00A61902" w:rsidRPr="00A61902" w:rsidTr="00A61902">
        <w:trPr>
          <w:trHeight w:val="45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</w:tr>
      <w:tr w:rsidR="00A61902" w:rsidRPr="00A61902" w:rsidTr="00A61902">
        <w:trPr>
          <w:trHeight w:val="45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</w:tr>
      <w:tr w:rsidR="00A61902" w:rsidRPr="00A61902" w:rsidTr="00A61902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 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2634,6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2634,6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</w:tr>
      <w:tr w:rsidR="00A61902" w:rsidRPr="00A61902" w:rsidTr="00A6190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1681,6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1681,6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810,2</w:t>
            </w:r>
          </w:p>
        </w:tc>
      </w:tr>
      <w:tr w:rsidR="00A61902" w:rsidRPr="00A61902" w:rsidTr="00A61902">
        <w:trPr>
          <w:trHeight w:val="98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142,8</w:t>
            </w:r>
          </w:p>
        </w:tc>
      </w:tr>
      <w:tr w:rsidR="00A61902" w:rsidRPr="00A61902" w:rsidTr="00A61902">
        <w:trPr>
          <w:trHeight w:val="22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37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85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107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Доплаты к пенсиям государственных служащих, субъектов РФ и муниципальных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служащих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43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</w:tbl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0"/>
      </w:tblGrid>
      <w:tr w:rsidR="00A61902" w:rsidRPr="00A61902" w:rsidTr="00A61902">
        <w:trPr>
          <w:trHeight w:val="60"/>
        </w:trPr>
        <w:tc>
          <w:tcPr>
            <w:tcW w:w="10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Pr="00A61902" w:rsidRDefault="00A04334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Default="00A61902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</w:t>
      </w:r>
      <w:r w:rsidR="00A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A04334" w:rsidRPr="00A61902" w:rsidRDefault="00A04334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34" w:rsidRDefault="00A61902" w:rsidP="00A61902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к решению сельской Думы</w:t>
      </w:r>
    </w:p>
    <w:p w:rsidR="00A61902" w:rsidRPr="00A61902" w:rsidRDefault="00A61902" w:rsidP="00A61902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A61902" w:rsidRPr="00A61902" w:rsidRDefault="00A61902" w:rsidP="00A61902">
      <w:pPr>
        <w:tabs>
          <w:tab w:val="left" w:pos="536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______________ № ____</w:t>
      </w: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</w:t>
      </w: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A61902" w:rsidRPr="00A61902" w:rsidRDefault="00A61902" w:rsidP="00A61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 бюджета поселения на 2015 год</w:t>
      </w: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0"/>
      </w:tblGrid>
      <w:tr w:rsidR="00A61902" w:rsidRPr="00A61902" w:rsidTr="00A61902">
        <w:trPr>
          <w:trHeight w:val="60"/>
        </w:trPr>
        <w:tc>
          <w:tcPr>
            <w:tcW w:w="10580" w:type="dxa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71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782"/>
        <w:gridCol w:w="496"/>
        <w:gridCol w:w="574"/>
        <w:gridCol w:w="1196"/>
        <w:gridCol w:w="636"/>
        <w:gridCol w:w="1214"/>
        <w:gridCol w:w="781"/>
      </w:tblGrid>
      <w:tr w:rsidR="00A61902" w:rsidRPr="00A61902" w:rsidTr="00A61902">
        <w:trPr>
          <w:trHeight w:val="407"/>
        </w:trPr>
        <w:tc>
          <w:tcPr>
            <w:tcW w:w="5040" w:type="dxa"/>
            <w:vMerge w:val="restart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782" w:type="dxa"/>
            <w:vMerge w:val="restart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администратора</w:t>
            </w:r>
          </w:p>
        </w:tc>
        <w:tc>
          <w:tcPr>
            <w:tcW w:w="496" w:type="dxa"/>
            <w:vMerge w:val="restart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74" w:type="dxa"/>
            <w:vMerge w:val="restart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96" w:type="dxa"/>
            <w:vMerge w:val="restart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vMerge w:val="restart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A61902" w:rsidRPr="00A61902" w:rsidTr="00A61902">
        <w:trPr>
          <w:trHeight w:val="696"/>
        </w:trPr>
        <w:tc>
          <w:tcPr>
            <w:tcW w:w="5040" w:type="dxa"/>
            <w:vMerge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Merge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vMerge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vMerge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Merge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12572,2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12500,2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3481,7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3434,2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0100104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345,2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0100104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345,2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344,9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правительства Российской Федерации,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1637,4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1606,8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0100108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1637,4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1606,8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0100108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1446,4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0100108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0100108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1499,1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1482,5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0100103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0100103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129,9</w:t>
            </w:r>
          </w:p>
        </w:tc>
      </w:tr>
      <w:tr w:rsidR="00A61902" w:rsidRPr="00A61902" w:rsidTr="00A61902">
        <w:trPr>
          <w:trHeight w:val="747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1369,1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хозяйственного обслуживания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0100301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0105118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0105118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0105118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163,4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730,5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706,6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фонды)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0100500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дорожного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0100501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0100501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Другие вопросы в области национальной экономики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rPr>
          <w:trHeight w:val="874"/>
        </w:trPr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0100907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межбюджетные трансферты бюджету муниципального района из бюджетов поселений на осуществление части переданных полномочий  по решению вопросов местного значения поселения в отношении невостребованных земельных долей и (или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)з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емельных </w:t>
            </w:r>
            <w:proofErr w:type="spellStart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долей,от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права собственности на которые граждане отказались</w:t>
            </w: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0100907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5536,7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5536,1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жилищного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0100705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0100705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5463,1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5463,1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902,7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инвестиционных проектов по модернизации объектов коммунальной инфраструктуры</w:t>
            </w: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804,7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в области коммунального хозяйства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0100602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0100602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0101500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</w:tr>
      <w:tr w:rsidR="00A61902" w:rsidRPr="00A61902" w:rsidTr="00A61902">
        <w:trPr>
          <w:trHeight w:val="240"/>
        </w:trPr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реализацию инвестиционных проектов по модернизации объектов коммунальной инфраструктур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или реконструкция, замена и модернизация, строительство, приобретение технологического оборудования, выполнение проектных работ)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0101525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</w:tr>
      <w:tr w:rsidR="00A61902" w:rsidRPr="00A61902" w:rsidTr="00A61902">
        <w:trPr>
          <w:trHeight w:val="380"/>
        </w:trPr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</w:t>
            </w:r>
            <w:proofErr w:type="gramStart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й(</w:t>
            </w:r>
            <w:proofErr w:type="gramEnd"/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муниципальной) собственности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0101525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4560,4</w:t>
            </w:r>
          </w:p>
        </w:tc>
      </w:tr>
      <w:tr w:rsidR="00A61902" w:rsidRPr="00A61902" w:rsidTr="00A61902">
        <w:trPr>
          <w:trHeight w:val="380"/>
        </w:trPr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Благоустройство</w:t>
            </w: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</w:tr>
      <w:tr w:rsidR="00A61902" w:rsidRPr="00A61902" w:rsidTr="00A61902">
        <w:tc>
          <w:tcPr>
            <w:tcW w:w="504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Благоустройство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0100701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</w:t>
            </w:r>
          </w:p>
        </w:tc>
      </w:tr>
      <w:tr w:rsidR="00A61902" w:rsidRPr="00A61902" w:rsidTr="00A61902">
        <w:trPr>
          <w:trHeight w:val="45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0100704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</w:tr>
      <w:tr w:rsidR="00A61902" w:rsidRPr="00A61902" w:rsidTr="00A61902">
        <w:trPr>
          <w:trHeight w:val="45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0100704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28,2</w:t>
            </w:r>
          </w:p>
        </w:tc>
      </w:tr>
      <w:tr w:rsidR="00A61902" w:rsidRPr="00A61902" w:rsidTr="00A61902">
        <w:trPr>
          <w:trHeight w:val="30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 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2634,6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2634,6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</w:tr>
      <w:tr w:rsidR="00A61902" w:rsidRPr="00A61902" w:rsidTr="00A61902"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2634,6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1681,6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1681,6</w:t>
            </w:r>
          </w:p>
        </w:tc>
      </w:tr>
      <w:tr w:rsidR="00A61902" w:rsidRPr="00A61902" w:rsidTr="00A61902">
        <w:trPr>
          <w:trHeight w:val="46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810,2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810,6</w:t>
            </w:r>
          </w:p>
        </w:tc>
      </w:tr>
      <w:tr w:rsidR="00A61902" w:rsidRPr="00A61902" w:rsidTr="00A61902">
        <w:trPr>
          <w:trHeight w:val="98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0100800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142,8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142,8</w:t>
            </w:r>
          </w:p>
        </w:tc>
      </w:tr>
      <w:tr w:rsidR="00A61902" w:rsidRPr="00A61902" w:rsidTr="00A61902">
        <w:trPr>
          <w:trHeight w:val="228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370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853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0100400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1079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Доплаты к пенсиям государственных служащих, субъектов РФ и муниципальных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служащих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0100400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A61902" w:rsidRPr="00A61902" w:rsidTr="00A61902">
        <w:trPr>
          <w:trHeight w:val="432"/>
        </w:trPr>
        <w:tc>
          <w:tcPr>
            <w:tcW w:w="5040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782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4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0100400</w:t>
            </w:r>
          </w:p>
        </w:tc>
        <w:tc>
          <w:tcPr>
            <w:tcW w:w="636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14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781" w:type="dxa"/>
            <w:vAlign w:val="center"/>
          </w:tcPr>
          <w:p w:rsidR="00A61902" w:rsidRPr="00A61902" w:rsidRDefault="00A61902" w:rsidP="00A6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1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</w:tbl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0"/>
      </w:tblGrid>
      <w:tr w:rsidR="00A61902" w:rsidRPr="00A61902" w:rsidTr="00A61902">
        <w:trPr>
          <w:trHeight w:val="60"/>
        </w:trPr>
        <w:tc>
          <w:tcPr>
            <w:tcW w:w="10580" w:type="dxa"/>
          </w:tcPr>
          <w:p w:rsidR="00A61902" w:rsidRPr="00A61902" w:rsidRDefault="00A61902" w:rsidP="00A6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61902">
        <w:rPr>
          <w:noProof/>
          <w:lang w:eastAsia="ru-RU"/>
        </w:rPr>
        <w:lastRenderedPageBreak/>
        <w:drawing>
          <wp:inline distT="0" distB="0" distL="0" distR="0" wp14:anchorId="5D8485B4" wp14:editId="400A2594">
            <wp:extent cx="6120130" cy="52592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5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A61902">
        <w:rPr>
          <w:noProof/>
          <w:lang w:eastAsia="ru-RU"/>
        </w:rPr>
        <w:lastRenderedPageBreak/>
        <w:drawing>
          <wp:inline distT="0" distB="0" distL="0" distR="0" wp14:anchorId="05C6BF7B" wp14:editId="34AC89BB">
            <wp:extent cx="6120130" cy="3817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02" w:rsidRPr="00A61902" w:rsidRDefault="00A61902" w:rsidP="00A61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75" w:rsidRPr="00CC6775" w:rsidRDefault="00CC6775" w:rsidP="00CC6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75" w:rsidRDefault="00CC6775">
      <w:r w:rsidRPr="00CC6775">
        <w:rPr>
          <w:noProof/>
          <w:lang w:eastAsia="ru-RU"/>
        </w:rPr>
        <w:lastRenderedPageBreak/>
        <w:drawing>
          <wp:inline distT="0" distB="0" distL="0" distR="0" wp14:anchorId="72791583" wp14:editId="2A3B40FF">
            <wp:extent cx="6120130" cy="83319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31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6775" w:rsidSect="000E7D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81" w:rsidRDefault="00012481" w:rsidP="004A4049">
      <w:pPr>
        <w:spacing w:after="0" w:line="240" w:lineRule="auto"/>
      </w:pPr>
      <w:r>
        <w:separator/>
      </w:r>
    </w:p>
  </w:endnote>
  <w:endnote w:type="continuationSeparator" w:id="0">
    <w:p w:rsidR="00012481" w:rsidRDefault="00012481" w:rsidP="004A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81" w:rsidRDefault="00012481" w:rsidP="004A4049">
      <w:pPr>
        <w:spacing w:after="0" w:line="240" w:lineRule="auto"/>
      </w:pPr>
      <w:r>
        <w:separator/>
      </w:r>
    </w:p>
  </w:footnote>
  <w:footnote w:type="continuationSeparator" w:id="0">
    <w:p w:rsidR="00012481" w:rsidRDefault="00012481" w:rsidP="004A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4F"/>
    <w:rsid w:val="00012481"/>
    <w:rsid w:val="000E7DA8"/>
    <w:rsid w:val="00227E69"/>
    <w:rsid w:val="00423A05"/>
    <w:rsid w:val="004A4049"/>
    <w:rsid w:val="006D2B29"/>
    <w:rsid w:val="00803F29"/>
    <w:rsid w:val="0082614F"/>
    <w:rsid w:val="00A04334"/>
    <w:rsid w:val="00A61902"/>
    <w:rsid w:val="00A63713"/>
    <w:rsid w:val="00AE26A5"/>
    <w:rsid w:val="00CC6775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A3045-0F03-4C7B-B75A-C299D60D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5613</Words>
  <Characters>31996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12</cp:revision>
  <cp:lastPrinted>2016-03-28T07:33:00Z</cp:lastPrinted>
  <dcterms:created xsi:type="dcterms:W3CDTF">2016-03-25T06:59:00Z</dcterms:created>
  <dcterms:modified xsi:type="dcterms:W3CDTF">2016-03-28T11:58:00Z</dcterms:modified>
</cp:coreProperties>
</file>