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57" w:rsidRDefault="00CE5B68">
      <w:pPr>
        <w:pStyle w:val="Standard"/>
        <w:jc w:val="center"/>
        <w:rPr>
          <w:b/>
        </w:rPr>
      </w:pPr>
      <w:r>
        <w:rPr>
          <w:b/>
        </w:rPr>
        <w:t>АДМИНИСТРАЦИЯ  КОНСТАНТИНОВСКОГО СЕЛЬСКОГО ПОСЕЛЕНИЯ МАЛМЫЖСКОГО РАЙОНА КИРОВСКОЙ ОБЛАСТИ</w:t>
      </w:r>
    </w:p>
    <w:p w:rsidR="00BD3FF8" w:rsidRDefault="00BD3FF8">
      <w:pPr>
        <w:pStyle w:val="Standard"/>
        <w:jc w:val="center"/>
        <w:rPr>
          <w:b/>
        </w:rPr>
      </w:pPr>
    </w:p>
    <w:p w:rsidR="00C86C57" w:rsidRDefault="00CE5B68">
      <w:pPr>
        <w:pStyle w:val="Standard"/>
        <w:jc w:val="center"/>
        <w:rPr>
          <w:b/>
        </w:rPr>
      </w:pPr>
      <w:r>
        <w:rPr>
          <w:b/>
        </w:rPr>
        <w:t>ПОСТАНОВЛЕНИЕ</w:t>
      </w:r>
    </w:p>
    <w:tbl>
      <w:tblPr>
        <w:tblW w:w="934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3"/>
        <w:gridCol w:w="4674"/>
      </w:tblGrid>
      <w:tr w:rsidR="00C86C57">
        <w:trPr>
          <w:trHeight w:val="403"/>
        </w:trPr>
        <w:tc>
          <w:tcPr>
            <w:tcW w:w="46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Pr="008632C0" w:rsidRDefault="008632C0">
            <w:pPr>
              <w:pStyle w:val="Standard"/>
              <w:spacing w:after="0" w:line="240" w:lineRule="auto"/>
            </w:pPr>
            <w:r w:rsidRPr="008632C0">
              <w:t>20.10.2014</w:t>
            </w:r>
          </w:p>
        </w:tc>
        <w:tc>
          <w:tcPr>
            <w:tcW w:w="467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Pr="008632C0" w:rsidRDefault="00CE5B68">
            <w:pPr>
              <w:pStyle w:val="Standard"/>
              <w:jc w:val="center"/>
            </w:pPr>
            <w:r w:rsidRPr="008632C0">
              <w:t xml:space="preserve">                          № </w:t>
            </w:r>
            <w:r w:rsidR="008632C0" w:rsidRPr="008632C0">
              <w:t>30</w:t>
            </w:r>
          </w:p>
          <w:p w:rsidR="00C86C57" w:rsidRPr="008632C0" w:rsidRDefault="00C86C57">
            <w:pPr>
              <w:pStyle w:val="Standard"/>
            </w:pPr>
          </w:p>
        </w:tc>
      </w:tr>
    </w:tbl>
    <w:p w:rsidR="00C86C57" w:rsidRPr="00BD3FF8" w:rsidRDefault="00CE5B68" w:rsidP="00BD3FF8">
      <w:pPr>
        <w:pStyle w:val="Standard"/>
        <w:jc w:val="center"/>
      </w:pPr>
      <w:proofErr w:type="gramStart"/>
      <w:r w:rsidRPr="00BD3FF8">
        <w:t>с</w:t>
      </w:r>
      <w:proofErr w:type="gramEnd"/>
      <w:r w:rsidRPr="00BD3FF8">
        <w:t>. Константиновка</w:t>
      </w:r>
    </w:p>
    <w:p w:rsidR="00C86C57" w:rsidRDefault="00C86C57">
      <w:pPr>
        <w:pStyle w:val="Standard"/>
        <w:jc w:val="center"/>
      </w:pPr>
    </w:p>
    <w:p w:rsidR="00C86C57" w:rsidRDefault="00CE5B68">
      <w:pPr>
        <w:pStyle w:val="Standard"/>
        <w:spacing w:after="0" w:line="240" w:lineRule="auto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 </w:t>
      </w:r>
    </w:p>
    <w:p w:rsidR="00C86C57" w:rsidRDefault="00CE5B68">
      <w:pPr>
        <w:pStyle w:val="Standard"/>
        <w:jc w:val="center"/>
        <w:rPr>
          <w:b/>
        </w:rPr>
      </w:pPr>
      <w:r>
        <w:rPr>
          <w:b/>
        </w:rPr>
        <w:t>Константиновского сельского поселения от 23.05.2013 № 26</w:t>
      </w:r>
    </w:p>
    <w:p w:rsidR="00C86C57" w:rsidRDefault="00C86C57">
      <w:pPr>
        <w:pStyle w:val="Standard"/>
        <w:jc w:val="center"/>
        <w:rPr>
          <w:b/>
        </w:rPr>
      </w:pPr>
    </w:p>
    <w:p w:rsidR="00C86C57" w:rsidRDefault="00CE5B68">
      <w:pPr>
        <w:pStyle w:val="Standard"/>
        <w:ind w:firstLine="708"/>
        <w:jc w:val="both"/>
      </w:pPr>
      <w:r>
        <w:t>Администрация Константиновского сельского поселения Малмыжского района Кировской области ПОСТАНОВЛЯЕТ:</w:t>
      </w:r>
    </w:p>
    <w:p w:rsidR="00C86C57" w:rsidRDefault="00CE5B68">
      <w:pPr>
        <w:pStyle w:val="a7"/>
        <w:numPr>
          <w:ilvl w:val="0"/>
          <w:numId w:val="4"/>
        </w:numPr>
        <w:ind w:firstLine="709"/>
        <w:jc w:val="both"/>
      </w:pPr>
      <w:r>
        <w:t>Внести изменения в постановление администрации Константиновского сельского поселения Малмыжского района Кировской области  от 23.05.2013 № 26 «Об утверждении плана мероприятий («дорожной карты») «Изменения в отраслях социальной сферы, направленные на повышение эффективности сферы культуры».</w:t>
      </w:r>
    </w:p>
    <w:p w:rsidR="00C86C57" w:rsidRDefault="00CE5B68">
      <w:pPr>
        <w:pStyle w:val="a7"/>
        <w:numPr>
          <w:ilvl w:val="0"/>
          <w:numId w:val="1"/>
        </w:numPr>
        <w:ind w:firstLine="709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C86C57" w:rsidRDefault="00C86C57">
      <w:pPr>
        <w:pStyle w:val="a7"/>
        <w:ind w:left="709"/>
        <w:jc w:val="both"/>
      </w:pPr>
    </w:p>
    <w:p w:rsidR="00C86C57" w:rsidRDefault="00C86C57">
      <w:pPr>
        <w:pStyle w:val="a7"/>
        <w:ind w:left="709"/>
        <w:jc w:val="both"/>
      </w:pPr>
    </w:p>
    <w:p w:rsidR="00C86C57" w:rsidRDefault="00CE5B68" w:rsidP="00640688">
      <w:pPr>
        <w:pStyle w:val="a7"/>
        <w:spacing w:after="0" w:line="240" w:lineRule="auto"/>
        <w:jc w:val="both"/>
      </w:pPr>
      <w:r>
        <w:t>Глава администрации</w:t>
      </w:r>
    </w:p>
    <w:p w:rsidR="00C86C57" w:rsidRDefault="00CE5B68">
      <w:pPr>
        <w:pStyle w:val="a7"/>
        <w:jc w:val="both"/>
      </w:pPr>
      <w:r>
        <w:t>сельского поселения</w:t>
      </w:r>
      <w:r w:rsidR="001D1545">
        <w:t xml:space="preserve">   </w:t>
      </w:r>
      <w:r w:rsidR="00E91020">
        <w:t xml:space="preserve">                                          </w:t>
      </w:r>
      <w:r w:rsidR="001D1545">
        <w:t xml:space="preserve"> </w:t>
      </w:r>
      <w:proofErr w:type="spellStart"/>
      <w:r>
        <w:t>И.Е.Сабирзянова</w:t>
      </w:r>
      <w:proofErr w:type="spellEnd"/>
    </w:p>
    <w:p w:rsidR="00C86C57" w:rsidRDefault="00C86C57">
      <w:pPr>
        <w:pStyle w:val="Standard"/>
      </w:pPr>
    </w:p>
    <w:p w:rsidR="00126C45" w:rsidRDefault="00CE5B68">
      <w:pPr>
        <w:spacing w:after="0"/>
        <w:rPr>
          <w:vanish/>
        </w:rPr>
      </w:pPr>
      <w:r>
        <w:br w:type="page"/>
      </w: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6"/>
        <w:gridCol w:w="5495"/>
      </w:tblGrid>
      <w:tr w:rsidR="00C86C57">
        <w:trPr>
          <w:trHeight w:val="2683"/>
        </w:trPr>
        <w:tc>
          <w:tcPr>
            <w:tcW w:w="40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86C57">
            <w:pPr>
              <w:pStyle w:val="a7"/>
              <w:spacing w:after="0" w:line="240" w:lineRule="auto"/>
              <w:jc w:val="both"/>
            </w:pPr>
          </w:p>
        </w:tc>
        <w:tc>
          <w:tcPr>
            <w:tcW w:w="54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a7"/>
              <w:jc w:val="both"/>
            </w:pPr>
            <w:r>
              <w:t xml:space="preserve">                                            </w:t>
            </w:r>
          </w:p>
          <w:p w:rsidR="00C86C57" w:rsidRDefault="00CE5B68">
            <w:pPr>
              <w:pStyle w:val="a7"/>
              <w:jc w:val="both"/>
            </w:pPr>
            <w:r>
              <w:t xml:space="preserve">                                               УТВЕРЖДЕНЫ</w:t>
            </w:r>
          </w:p>
          <w:p w:rsidR="00606D2A" w:rsidRDefault="00606D2A" w:rsidP="001D1545">
            <w:pPr>
              <w:pStyle w:val="a7"/>
              <w:spacing w:after="0" w:line="240" w:lineRule="auto"/>
              <w:jc w:val="both"/>
            </w:pPr>
            <w:r>
              <w:t xml:space="preserve">               </w:t>
            </w:r>
            <w:r w:rsidR="00CE5B68">
              <w:t xml:space="preserve">постановлением администрации </w:t>
            </w:r>
          </w:p>
          <w:p w:rsidR="001D1545" w:rsidRDefault="001D1545" w:rsidP="001D1545">
            <w:pPr>
              <w:pStyle w:val="a7"/>
              <w:tabs>
                <w:tab w:val="left" w:pos="1140"/>
              </w:tabs>
              <w:spacing w:after="0" w:line="240" w:lineRule="auto"/>
              <w:jc w:val="both"/>
            </w:pPr>
            <w:r>
              <w:t xml:space="preserve">               сельского поселения</w:t>
            </w:r>
          </w:p>
          <w:p w:rsidR="00C86C57" w:rsidRDefault="00606D2A" w:rsidP="008632C0">
            <w:pPr>
              <w:pStyle w:val="a7"/>
              <w:jc w:val="both"/>
            </w:pPr>
            <w:r>
              <w:t xml:space="preserve">                </w:t>
            </w:r>
            <w:r w:rsidR="00CE5B68">
              <w:t xml:space="preserve">от </w:t>
            </w:r>
            <w:r w:rsidR="008632C0">
              <w:t xml:space="preserve">20.10.2014 </w:t>
            </w:r>
            <w:bookmarkStart w:id="0" w:name="_GoBack"/>
            <w:bookmarkEnd w:id="0"/>
            <w:r w:rsidR="00CE5B68">
              <w:t xml:space="preserve"> № </w:t>
            </w:r>
            <w:r w:rsidR="008632C0">
              <w:t>30</w:t>
            </w:r>
          </w:p>
        </w:tc>
      </w:tr>
    </w:tbl>
    <w:p w:rsidR="00C86C57" w:rsidRDefault="00C86C57">
      <w:pPr>
        <w:pStyle w:val="a7"/>
        <w:jc w:val="center"/>
        <w:rPr>
          <w:b/>
        </w:rPr>
      </w:pPr>
    </w:p>
    <w:p w:rsidR="00C86C57" w:rsidRDefault="00CE5B68">
      <w:pPr>
        <w:pStyle w:val="a7"/>
        <w:jc w:val="center"/>
        <w:rPr>
          <w:b/>
        </w:rPr>
      </w:pPr>
      <w:r>
        <w:rPr>
          <w:b/>
        </w:rPr>
        <w:t>ИЗМЕНЕНИЯ</w:t>
      </w:r>
    </w:p>
    <w:p w:rsidR="00C86C57" w:rsidRDefault="00CE5B68">
      <w:pPr>
        <w:pStyle w:val="a7"/>
        <w:jc w:val="center"/>
        <w:rPr>
          <w:b/>
        </w:rPr>
      </w:pPr>
      <w:r>
        <w:rPr>
          <w:b/>
        </w:rPr>
        <w:t>в плане мероприятий  («дорожной карте»)</w:t>
      </w:r>
    </w:p>
    <w:p w:rsidR="00C86C57" w:rsidRDefault="00CE5B68">
      <w:pPr>
        <w:pStyle w:val="a7"/>
        <w:jc w:val="center"/>
        <w:rPr>
          <w:b/>
        </w:rPr>
      </w:pPr>
      <w:r>
        <w:rPr>
          <w:b/>
        </w:rPr>
        <w:t xml:space="preserve">«Изменения в отраслях социальной сферы, направленные </w:t>
      </w:r>
      <w:proofErr w:type="gramStart"/>
      <w:r>
        <w:rPr>
          <w:b/>
        </w:rPr>
        <w:t>на</w:t>
      </w:r>
      <w:proofErr w:type="gramEnd"/>
    </w:p>
    <w:p w:rsidR="00C86C57" w:rsidRDefault="00CE5B68">
      <w:pPr>
        <w:pStyle w:val="a7"/>
        <w:jc w:val="center"/>
        <w:rPr>
          <w:b/>
        </w:rPr>
      </w:pPr>
      <w:r>
        <w:rPr>
          <w:b/>
        </w:rPr>
        <w:t xml:space="preserve"> повышение эффективности сферы культуры»</w:t>
      </w:r>
    </w:p>
    <w:p w:rsidR="00C86C57" w:rsidRDefault="00C86C57">
      <w:pPr>
        <w:pStyle w:val="a7"/>
        <w:jc w:val="center"/>
        <w:rPr>
          <w:b/>
        </w:rPr>
      </w:pPr>
    </w:p>
    <w:p w:rsidR="00C86C57" w:rsidRDefault="00CE5B68">
      <w:pPr>
        <w:pStyle w:val="Standard"/>
        <w:numPr>
          <w:ilvl w:val="0"/>
          <w:numId w:val="5"/>
        </w:numPr>
        <w:spacing w:after="0" w:line="360" w:lineRule="auto"/>
        <w:ind w:firstLine="567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Раздел 1 «Цели разработки «Дорожной карты» изложить в новой редакции следующего содержания:</w:t>
      </w:r>
    </w:p>
    <w:p w:rsidR="00C86C57" w:rsidRDefault="00CE5B68">
      <w:pPr>
        <w:pStyle w:val="Standard"/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Целями плана мероприятий («дорожной карты») «Изменения в отраслях социальной сферы, направленные на повышение эффективности сферы культуры» (далее – «дорожная карта») являются:</w:t>
      </w:r>
    </w:p>
    <w:p w:rsidR="00C86C57" w:rsidRDefault="00CE5B68">
      <w:pPr>
        <w:pStyle w:val="Standard"/>
        <w:spacing w:after="0" w:line="36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сохранение культурного и исторического наследия народов, населяющих Константиновского сельского поселения, обеспечение доступа населения Константиновского сельского поселения к культурным ценностям и участию в культурной жизни, реализация творческого потенциала граждан;</w:t>
      </w:r>
    </w:p>
    <w:p w:rsidR="00C86C57" w:rsidRDefault="00CE5B68">
      <w:pPr>
        <w:pStyle w:val="Standard"/>
        <w:spacing w:after="0" w:line="360" w:lineRule="auto"/>
        <w:ind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обеспечение доступа населения  к культурным ценностям и участию в культурной жизни, реализация творческого потенциала граждан;</w:t>
      </w:r>
    </w:p>
    <w:p w:rsidR="00C86C57" w:rsidRDefault="00CE5B68">
      <w:pPr>
        <w:pStyle w:val="Standard"/>
        <w:shd w:val="clear" w:color="auto" w:fill="FFFFFF"/>
        <w:tabs>
          <w:tab w:val="left" w:pos="1805"/>
        </w:tabs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развитие и сохранение кадрового потенциала учреждений культуры;</w:t>
      </w:r>
    </w:p>
    <w:p w:rsidR="00C86C57" w:rsidRDefault="00CE5B68">
      <w:pPr>
        <w:pStyle w:val="Standard"/>
        <w:shd w:val="clear" w:color="auto" w:fill="FFFFFF"/>
        <w:tabs>
          <w:tab w:val="left" w:pos="2160"/>
        </w:tabs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сокращение разрыва между средним уровнем </w:t>
      </w:r>
      <w:proofErr w:type="gramStart"/>
      <w:r>
        <w:rPr>
          <w:rFonts w:eastAsia="Times New Roman" w:cs="Times New Roman"/>
          <w:color w:val="000000"/>
          <w:szCs w:val="28"/>
          <w:lang w:eastAsia="ru-RU"/>
        </w:rPr>
        <w:t>оплаты труда работников учреждений культуры</w:t>
      </w:r>
      <w:proofErr w:type="gramEnd"/>
      <w:r>
        <w:rPr>
          <w:rFonts w:eastAsia="Times New Roman" w:cs="Times New Roman"/>
          <w:color w:val="000000"/>
          <w:szCs w:val="28"/>
          <w:lang w:eastAsia="ru-RU"/>
        </w:rPr>
        <w:t xml:space="preserve"> и средним уровнем заработной платы по экономике Кировской области;</w:t>
      </w:r>
    </w:p>
    <w:p w:rsidR="00C86C57" w:rsidRDefault="00CE5B68">
      <w:pPr>
        <w:pStyle w:val="Standard"/>
        <w:shd w:val="clear" w:color="auto" w:fill="FFFFFF"/>
        <w:tabs>
          <w:tab w:val="left" w:pos="2160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повышение эффективности деятельности учреждений культуры и качества оказываемых учреждениями культуры муниципальных услуг;</w:t>
      </w:r>
    </w:p>
    <w:p w:rsidR="00C86C57" w:rsidRDefault="00CE5B68">
      <w:pPr>
        <w:pStyle w:val="Standard"/>
        <w:shd w:val="clear" w:color="auto" w:fill="FFFFFF"/>
        <w:tabs>
          <w:tab w:val="left" w:pos="758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создание благоприятных условий для устойчивого развития сферы культуры.</w:t>
      </w:r>
    </w:p>
    <w:p w:rsidR="00C86C57" w:rsidRDefault="00CE5B68">
      <w:pPr>
        <w:pStyle w:val="Standard"/>
        <w:shd w:val="clear" w:color="auto" w:fill="FFFFFF"/>
        <w:tabs>
          <w:tab w:val="left" w:pos="2213"/>
        </w:tabs>
        <w:spacing w:after="0" w:line="360" w:lineRule="auto"/>
        <w:ind w:firstLine="720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2. Раздел 2 «Проведение структурных реформ в сфере культуры» изложить в следующей редакции:</w:t>
      </w:r>
    </w:p>
    <w:p w:rsidR="00C86C57" w:rsidRDefault="00CE5B68">
      <w:pPr>
        <w:pStyle w:val="Standard"/>
        <w:shd w:val="clear" w:color="auto" w:fill="FFFFFF"/>
        <w:tabs>
          <w:tab w:val="left" w:pos="700"/>
        </w:tabs>
        <w:spacing w:after="0" w:line="360" w:lineRule="auto"/>
        <w:ind w:firstLine="709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В рамках структурных реформ предусматривается:</w:t>
      </w:r>
    </w:p>
    <w:p w:rsidR="00C86C57" w:rsidRDefault="00CE5B68">
      <w:pPr>
        <w:pStyle w:val="Standard"/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повышение качества и расширение спектра государственных услуг в сфере культуры;</w:t>
      </w:r>
    </w:p>
    <w:p w:rsidR="00C86C57" w:rsidRDefault="00CE5B68">
      <w:pPr>
        <w:pStyle w:val="Standard"/>
        <w:shd w:val="clear" w:color="auto" w:fill="FFFFFF"/>
        <w:tabs>
          <w:tab w:val="left" w:pos="1320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обеспечение доступности к культурному продукту путем информатизации отрасли (создание электронных библиотек, виртуальных музеев, размещение в информационно-телекоммуникационной сети «Интернет» информации о культурном продукте);</w:t>
      </w:r>
    </w:p>
    <w:p w:rsidR="00C86C57" w:rsidRDefault="00CE5B68">
      <w:pPr>
        <w:pStyle w:val="Standard"/>
        <w:shd w:val="clear" w:color="auto" w:fill="FFFFFF"/>
        <w:tabs>
          <w:tab w:val="left" w:pos="1320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создание многофункциональных культурных центров в малых и средних городах Кировской области;</w:t>
      </w:r>
    </w:p>
    <w:p w:rsidR="00C86C57" w:rsidRDefault="00CE5B68">
      <w:pPr>
        <w:pStyle w:val="Standard"/>
        <w:shd w:val="clear" w:color="auto" w:fill="FFFFFF"/>
        <w:tabs>
          <w:tab w:val="left" w:pos="1320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формирование конкурентной среды в отрасли культуры путем расширения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грантовой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поддержки творческих проектов;</w:t>
      </w:r>
    </w:p>
    <w:p w:rsidR="00C86C57" w:rsidRDefault="00CE5B68">
      <w:pPr>
        <w:pStyle w:val="Standard"/>
        <w:shd w:val="clear" w:color="auto" w:fill="FFFFFF"/>
        <w:tabs>
          <w:tab w:val="left" w:pos="1320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создание условий для творческой самореализации жителей Кировской области;</w:t>
      </w:r>
    </w:p>
    <w:p w:rsidR="00C86C57" w:rsidRDefault="00CE5B68">
      <w:pPr>
        <w:pStyle w:val="Standard"/>
        <w:shd w:val="clear" w:color="auto" w:fill="FFFFFF"/>
        <w:tabs>
          <w:tab w:val="left" w:pos="1320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участие учреждений сферы культуры в формировании комфортной среды жизнедеятельности населенных пунктов;</w:t>
      </w:r>
    </w:p>
    <w:p w:rsidR="00C86C57" w:rsidRDefault="00CE5B68">
      <w:pPr>
        <w:pStyle w:val="Standard"/>
        <w:shd w:val="clear" w:color="auto" w:fill="FFFFFF"/>
        <w:tabs>
          <w:tab w:val="left" w:pos="758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популяризация Кировской области во внутреннем и внешнем культурно-туристическом пространстве.</w:t>
      </w:r>
    </w:p>
    <w:p w:rsidR="00C86C57" w:rsidRDefault="00CE5B68">
      <w:pPr>
        <w:pStyle w:val="a7"/>
        <w:numPr>
          <w:ilvl w:val="0"/>
          <w:numId w:val="6"/>
        </w:numPr>
        <w:shd w:val="clear" w:color="auto" w:fill="FFFFFF"/>
        <w:spacing w:line="240" w:lineRule="atLeast"/>
        <w:ind w:firstLine="709"/>
        <w:jc w:val="both"/>
      </w:pPr>
      <w:r>
        <w:rPr>
          <w:rFonts w:eastAsia="Times New Roman" w:cs="Times New Roman"/>
          <w:b/>
          <w:color w:val="000000"/>
          <w:szCs w:val="28"/>
          <w:lang w:eastAsia="ru-RU"/>
        </w:rPr>
        <w:t>Подпункт 3.2.5. пункта 3.2. раздела 3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«Целевые показатели (индикаторы) развития сферы культуры и меры, обеспечивающие их достижение» изложить в следующей редакции:</w:t>
      </w:r>
    </w:p>
    <w:p w:rsidR="00C86C57" w:rsidRDefault="00CE5B68">
      <w:pPr>
        <w:pStyle w:val="Standard"/>
        <w:shd w:val="clear" w:color="auto" w:fill="FFFFFF"/>
        <w:tabs>
          <w:tab w:val="left" w:pos="2328"/>
        </w:tabs>
        <w:spacing w:after="0" w:line="360" w:lineRule="auto"/>
        <w:ind w:firstLine="709"/>
        <w:jc w:val="both"/>
      </w:pPr>
      <w:r>
        <w:rPr>
          <w:rFonts w:eastAsia="Times New Roman" w:cs="Times New Roman"/>
          <w:color w:val="000000"/>
          <w:szCs w:val="28"/>
          <w:lang w:eastAsia="ru-RU"/>
        </w:rPr>
        <w:t>«3.2.5. С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овершенствование </w:t>
      </w:r>
      <w:proofErr w:type="gramStart"/>
      <w:r>
        <w:rPr>
          <w:rFonts w:eastAsia="Times New Roman" w:cs="Times New Roman"/>
          <w:bCs/>
          <w:color w:val="000000"/>
          <w:szCs w:val="28"/>
          <w:lang w:eastAsia="ru-RU"/>
        </w:rPr>
        <w:t>оплаты труда работников учреждений культуры</w:t>
      </w:r>
      <w:proofErr w:type="gramEnd"/>
    </w:p>
    <w:p w:rsidR="00C86C57" w:rsidRPr="00606D2A" w:rsidRDefault="00CE5B68" w:rsidP="00606D2A">
      <w:pPr>
        <w:pStyle w:val="Standard"/>
        <w:shd w:val="clear" w:color="auto" w:fill="FFFFFF"/>
        <w:tabs>
          <w:tab w:val="left" w:pos="-5245"/>
        </w:tabs>
        <w:spacing w:after="0" w:line="360" w:lineRule="auto"/>
        <w:ind w:firstLine="709"/>
        <w:jc w:val="both"/>
      </w:pPr>
      <w:r>
        <w:rPr>
          <w:rFonts w:eastAsia="Times New Roman" w:cs="Times New Roman"/>
          <w:color w:val="000000"/>
          <w:szCs w:val="28"/>
          <w:lang w:eastAsia="ru-RU"/>
        </w:rPr>
        <w:t xml:space="preserve">Основным показателем (индикатором), характеризующим эффективность мероприятий </w:t>
      </w: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по совершенствованию оплаты труда работников учреждений культуры, является </w:t>
      </w:r>
      <w:r>
        <w:rPr>
          <w:rFonts w:eastAsia="Times New Roman" w:cs="Times New Roman"/>
          <w:color w:val="000000"/>
          <w:szCs w:val="28"/>
          <w:lang w:eastAsia="ru-RU"/>
        </w:rPr>
        <w:t>динамика примерных (индикативных) значений соотношения средней заработной платы работников учреждений культуры и средней заработной платы по экономике Кировской области:</w:t>
      </w: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5"/>
        <w:gridCol w:w="1701"/>
        <w:gridCol w:w="1558"/>
        <w:gridCol w:w="1559"/>
        <w:gridCol w:w="1560"/>
        <w:gridCol w:w="1561"/>
      </w:tblGrid>
      <w:tr w:rsidR="00C86C57" w:rsidTr="00BD3FF8">
        <w:trPr>
          <w:trHeight w:val="48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hd w:val="clear" w:color="auto" w:fill="FFFFFF"/>
              <w:spacing w:after="0" w:line="240" w:lineRule="atLeast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2013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hd w:val="clear" w:color="auto" w:fill="FFFFFF"/>
              <w:spacing w:after="0" w:line="240" w:lineRule="atLeast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2014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hd w:val="clear" w:color="auto" w:fill="FFFFFF"/>
              <w:spacing w:after="0" w:line="240" w:lineRule="atLeast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2015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hd w:val="clear" w:color="auto" w:fill="FFFFFF"/>
              <w:spacing w:after="0" w:line="240" w:lineRule="atLeast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2016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hd w:val="clear" w:color="auto" w:fill="FFFFFF"/>
              <w:spacing w:after="0" w:line="240" w:lineRule="atLeast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2017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hd w:val="clear" w:color="auto" w:fill="FFFFFF"/>
              <w:spacing w:after="0" w:line="240" w:lineRule="atLeast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2018 год</w:t>
            </w:r>
          </w:p>
        </w:tc>
      </w:tr>
      <w:tr w:rsidR="00C86C57" w:rsidTr="00BD3FF8">
        <w:trPr>
          <w:trHeight w:val="46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64,9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100,0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>
            <w:pPr>
              <w:pStyle w:val="Standard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100,0</w:t>
            </w:r>
          </w:p>
        </w:tc>
      </w:tr>
    </w:tbl>
    <w:p w:rsidR="00C86C57" w:rsidRDefault="00C86C57">
      <w:pPr>
        <w:pStyle w:val="Standard"/>
        <w:shd w:val="clear" w:color="auto" w:fill="FFFFFF"/>
        <w:tabs>
          <w:tab w:val="left" w:pos="-5245"/>
        </w:tabs>
        <w:spacing w:after="0" w:line="360" w:lineRule="atLeast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-5245"/>
        </w:tabs>
        <w:spacing w:after="0" w:line="360" w:lineRule="atLeast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:rsidR="00C86C57" w:rsidRDefault="00CE5B68">
      <w:pPr>
        <w:pStyle w:val="a7"/>
        <w:numPr>
          <w:ilvl w:val="0"/>
          <w:numId w:val="1"/>
        </w:numPr>
        <w:shd w:val="clear" w:color="auto" w:fill="FFFFFF"/>
        <w:tabs>
          <w:tab w:val="left" w:pos="-5245"/>
        </w:tabs>
        <w:spacing w:after="0" w:line="360" w:lineRule="atLeast"/>
        <w:ind w:firstLine="708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Пункт 3.2. раздела 3 «Целевые показатели (индикаторы) развития сферы культуры и меры, обеспечивающие их достижение» дополнить подпунктами 3.2.6, 3.2.7, 3.2.8. и 3.2.9. следующего содержания:</w:t>
      </w:r>
    </w:p>
    <w:p w:rsidR="00C86C57" w:rsidRDefault="00CE5B68">
      <w:pPr>
        <w:pStyle w:val="a7"/>
        <w:shd w:val="clear" w:color="auto" w:fill="FFFFFF"/>
        <w:tabs>
          <w:tab w:val="left" w:pos="-5245"/>
        </w:tabs>
        <w:spacing w:after="0" w:line="360" w:lineRule="atLeast"/>
        <w:ind w:firstLine="851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«3.2.6. Численность работников муниципальных учреждений культуры Константиновского сельского поселения Малмыжского района Кировской области  (человек без внешних совместителей).</w:t>
      </w:r>
    </w:p>
    <w:p w:rsidR="00C86C57" w:rsidRDefault="00C86C57">
      <w:pPr>
        <w:pStyle w:val="a7"/>
        <w:shd w:val="clear" w:color="auto" w:fill="FFFFFF"/>
        <w:tabs>
          <w:tab w:val="left" w:pos="-5245"/>
        </w:tabs>
        <w:spacing w:after="0" w:line="360" w:lineRule="atLeast"/>
        <w:ind w:firstLine="851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tbl>
      <w:tblPr>
        <w:tblW w:w="935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7"/>
        <w:gridCol w:w="1337"/>
        <w:gridCol w:w="1336"/>
        <w:gridCol w:w="1336"/>
        <w:gridCol w:w="1336"/>
        <w:gridCol w:w="1336"/>
        <w:gridCol w:w="1337"/>
      </w:tblGrid>
      <w:tr w:rsidR="00C86C57"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2012 год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2013 год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2014 год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2015 год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2016 год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2017 год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2018 год</w:t>
            </w:r>
          </w:p>
        </w:tc>
      </w:tr>
      <w:tr w:rsidR="00C86C57"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</w:t>
            </w:r>
          </w:p>
        </w:tc>
      </w:tr>
    </w:tbl>
    <w:p w:rsidR="00C86C57" w:rsidRDefault="00C86C57">
      <w:pPr>
        <w:pStyle w:val="a7"/>
        <w:shd w:val="clear" w:color="auto" w:fill="FFFFFF"/>
        <w:tabs>
          <w:tab w:val="left" w:pos="-5245"/>
        </w:tabs>
        <w:spacing w:after="0" w:line="360" w:lineRule="atLeast"/>
        <w:ind w:firstLine="851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:rsidR="00C86C57" w:rsidRDefault="00CE5B68" w:rsidP="00032B5B">
      <w:pPr>
        <w:pStyle w:val="a7"/>
        <w:numPr>
          <w:ilvl w:val="2"/>
          <w:numId w:val="7"/>
        </w:numPr>
        <w:shd w:val="clear" w:color="auto" w:fill="FFFFFF"/>
        <w:tabs>
          <w:tab w:val="left" w:pos="-4537"/>
        </w:tabs>
        <w:spacing w:after="0" w:line="360" w:lineRule="atLeast"/>
        <w:ind w:firstLine="567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Привлечение дополнительных финансовых средств на повышение оплаты труда.</w:t>
      </w:r>
    </w:p>
    <w:p w:rsidR="00C86C57" w:rsidRDefault="00CE5B68" w:rsidP="00032B5B">
      <w:pPr>
        <w:pStyle w:val="a7"/>
        <w:shd w:val="clear" w:color="auto" w:fill="FFFFFF"/>
        <w:tabs>
          <w:tab w:val="left" w:pos="-4537"/>
        </w:tabs>
        <w:spacing w:after="0" w:line="360" w:lineRule="atLeast"/>
        <w:ind w:firstLine="567"/>
        <w:jc w:val="both"/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Одним из источников привлечения дополнительных финансовых средств на повышение оплаты труда являются </w:t>
      </w:r>
      <w:proofErr w:type="spellStart"/>
      <w:r>
        <w:rPr>
          <w:rFonts w:eastAsia="Times New Roman" w:cs="Times New Roman"/>
          <w:bCs/>
          <w:color w:val="000000"/>
          <w:szCs w:val="28"/>
          <w:lang w:eastAsia="ru-RU"/>
        </w:rPr>
        <w:t>средства</w:t>
      </w:r>
      <w:proofErr w:type="gramStart"/>
      <w:r>
        <w:rPr>
          <w:rFonts w:eastAsia="Times New Roman" w:cs="Times New Roman"/>
          <w:bCs/>
          <w:color w:val="000000"/>
          <w:szCs w:val="28"/>
          <w:lang w:eastAsia="ru-RU"/>
        </w:rPr>
        <w:t>,п</w:t>
      </w:r>
      <w:proofErr w:type="gramEnd"/>
      <w:r>
        <w:rPr>
          <w:rFonts w:eastAsia="Times New Roman" w:cs="Times New Roman"/>
          <w:bCs/>
          <w:color w:val="000000"/>
          <w:szCs w:val="28"/>
          <w:lang w:eastAsia="ru-RU"/>
        </w:rPr>
        <w:t>олученные</w:t>
      </w:r>
      <w:proofErr w:type="spellEnd"/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от приносящей доход деятельности.</w:t>
      </w:r>
    </w:p>
    <w:p w:rsidR="00C86C57" w:rsidRDefault="00CE5B68" w:rsidP="00032B5B">
      <w:pPr>
        <w:pStyle w:val="a7"/>
        <w:shd w:val="clear" w:color="auto" w:fill="FFFFFF"/>
        <w:tabs>
          <w:tab w:val="left" w:pos="-4537"/>
        </w:tabs>
        <w:spacing w:after="0" w:line="360" w:lineRule="atLeast"/>
        <w:ind w:firstLine="567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Прирост фонда оплаты труда с начислениями к 2013 году за счет средств от приносящей доход деятельности, в тыс. рублей.</w:t>
      </w:r>
    </w:p>
    <w:p w:rsidR="00C86C57" w:rsidRDefault="00C86C57">
      <w:pPr>
        <w:pStyle w:val="a7"/>
        <w:shd w:val="clear" w:color="auto" w:fill="FFFFFF"/>
        <w:tabs>
          <w:tab w:val="left" w:pos="-4537"/>
        </w:tabs>
        <w:spacing w:after="0" w:line="360" w:lineRule="atLeast"/>
        <w:ind w:left="708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tbl>
      <w:tblPr>
        <w:tblW w:w="935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1"/>
      </w:tblGrid>
      <w:tr w:rsidR="00C86C57"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2014 год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2015 год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2016 год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2017 год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2018 год</w:t>
            </w:r>
          </w:p>
        </w:tc>
      </w:tr>
      <w:tr w:rsidR="00C86C57"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C57" w:rsidRDefault="00CE5B68" w:rsidP="00032B5B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3,5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4,5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5</w:t>
            </w:r>
          </w:p>
        </w:tc>
      </w:tr>
    </w:tbl>
    <w:p w:rsidR="00C86C57" w:rsidRPr="00D26898" w:rsidRDefault="00CE5B68" w:rsidP="00D26898">
      <w:pPr>
        <w:pStyle w:val="a7"/>
        <w:numPr>
          <w:ilvl w:val="2"/>
          <w:numId w:val="7"/>
        </w:numPr>
        <w:shd w:val="clear" w:color="auto" w:fill="FFFFFF"/>
        <w:tabs>
          <w:tab w:val="left" w:pos="-4537"/>
        </w:tabs>
        <w:spacing w:after="0" w:line="360" w:lineRule="atLeast"/>
        <w:ind w:firstLine="567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D26898">
        <w:rPr>
          <w:rFonts w:eastAsia="Times New Roman" w:cs="Times New Roman"/>
          <w:bCs/>
          <w:color w:val="000000"/>
          <w:szCs w:val="28"/>
          <w:lang w:eastAsia="ru-RU"/>
        </w:rPr>
        <w:t>Увеличение посещаемости учреждений культуры (% роста к 2012 году, в общем числе к 2012 году)</w:t>
      </w:r>
    </w:p>
    <w:p w:rsidR="00C86C57" w:rsidRDefault="00C86C57">
      <w:pPr>
        <w:pStyle w:val="a7"/>
        <w:shd w:val="clear" w:color="auto" w:fill="FFFFFF"/>
        <w:tabs>
          <w:tab w:val="left" w:pos="-4537"/>
        </w:tabs>
        <w:spacing w:after="0" w:line="360" w:lineRule="atLeast"/>
        <w:ind w:left="708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tbl>
      <w:tblPr>
        <w:tblW w:w="935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0"/>
        <w:gridCol w:w="1170"/>
        <w:gridCol w:w="1169"/>
        <w:gridCol w:w="1169"/>
        <w:gridCol w:w="1169"/>
        <w:gridCol w:w="1169"/>
        <w:gridCol w:w="1169"/>
        <w:gridCol w:w="1170"/>
      </w:tblGrid>
      <w:tr w:rsidR="00C86C57"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86C57">
            <w:pPr>
              <w:pStyle w:val="TableContents"/>
              <w:jc w:val="both"/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2012 год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2013 год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2014 год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2015 год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2016 год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2017 год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2018 год</w:t>
            </w:r>
          </w:p>
        </w:tc>
      </w:tr>
      <w:tr w:rsidR="00C86C57"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both"/>
            </w:pPr>
            <w:r>
              <w:t>%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100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102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110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115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120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125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130</w:t>
            </w:r>
          </w:p>
        </w:tc>
      </w:tr>
      <w:tr w:rsidR="00C86C57"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</w:pPr>
            <w:r>
              <w:t>единиц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4534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4625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4987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5440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5667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5667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 w:rsidP="00032B5B">
            <w:pPr>
              <w:pStyle w:val="TableContents"/>
              <w:jc w:val="center"/>
            </w:pPr>
            <w:r>
              <w:t>5894</w:t>
            </w:r>
          </w:p>
        </w:tc>
      </w:tr>
    </w:tbl>
    <w:p w:rsidR="00D26898" w:rsidRDefault="00D26898" w:rsidP="00032B5B">
      <w:pPr>
        <w:pStyle w:val="a7"/>
        <w:shd w:val="clear" w:color="auto" w:fill="FFFFFF"/>
        <w:tabs>
          <w:tab w:val="left" w:pos="-4537"/>
        </w:tabs>
        <w:spacing w:after="0" w:line="360" w:lineRule="atLeast"/>
        <w:ind w:firstLine="567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</w:p>
    <w:p w:rsidR="00C86C57" w:rsidRDefault="00CE5B68" w:rsidP="00D26898">
      <w:pPr>
        <w:pStyle w:val="a7"/>
        <w:numPr>
          <w:ilvl w:val="2"/>
          <w:numId w:val="7"/>
        </w:numPr>
        <w:shd w:val="clear" w:color="auto" w:fill="FFFFFF"/>
        <w:tabs>
          <w:tab w:val="left" w:pos="-4537"/>
        </w:tabs>
        <w:spacing w:after="0" w:line="360" w:lineRule="atLeast"/>
        <w:ind w:firstLine="567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Увеличение количества предоставляемых дополнительных услуг учреждениями культур</w:t>
      </w:r>
      <w:proofErr w:type="gramStart"/>
      <w:r>
        <w:rPr>
          <w:rFonts w:eastAsia="Times New Roman" w:cs="Times New Roman"/>
          <w:bCs/>
          <w:color w:val="000000"/>
          <w:szCs w:val="28"/>
          <w:lang w:eastAsia="ru-RU"/>
        </w:rPr>
        <w:t>ы(</w:t>
      </w:r>
      <w:proofErr w:type="gramEnd"/>
      <w:r>
        <w:rPr>
          <w:rFonts w:eastAsia="Times New Roman" w:cs="Times New Roman"/>
          <w:bCs/>
          <w:color w:val="000000"/>
          <w:szCs w:val="28"/>
          <w:lang w:eastAsia="ru-RU"/>
        </w:rPr>
        <w:t>единиц)</w:t>
      </w:r>
    </w:p>
    <w:p w:rsidR="00606D2A" w:rsidRDefault="00606D2A" w:rsidP="00606D2A">
      <w:pPr>
        <w:pStyle w:val="Standard"/>
        <w:shd w:val="clear" w:color="auto" w:fill="FFFFFF"/>
        <w:tabs>
          <w:tab w:val="left" w:pos="3379"/>
        </w:tabs>
        <w:spacing w:after="0" w:line="240" w:lineRule="atLeast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tbl>
      <w:tblPr>
        <w:tblW w:w="935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7"/>
        <w:gridCol w:w="1337"/>
        <w:gridCol w:w="1336"/>
        <w:gridCol w:w="1336"/>
        <w:gridCol w:w="1336"/>
        <w:gridCol w:w="1336"/>
        <w:gridCol w:w="1337"/>
      </w:tblGrid>
      <w:tr w:rsidR="00C86C57"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2012 год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2013 год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2014 год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2015 год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2016 год</w:t>
            </w:r>
          </w:p>
        </w:tc>
        <w:tc>
          <w:tcPr>
            <w:tcW w:w="13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2017 год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2018 год</w:t>
            </w:r>
          </w:p>
        </w:tc>
      </w:tr>
      <w:tr w:rsidR="00C86C57"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</w:t>
            </w:r>
          </w:p>
        </w:tc>
        <w:tc>
          <w:tcPr>
            <w:tcW w:w="1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</w:t>
            </w:r>
          </w:p>
        </w:tc>
        <w:tc>
          <w:tcPr>
            <w:tcW w:w="13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C57" w:rsidRDefault="00CE5B68">
            <w:pPr>
              <w:pStyle w:val="TableContents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2</w:t>
            </w:r>
          </w:p>
        </w:tc>
      </w:tr>
    </w:tbl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E5B68" w:rsidP="00D26898">
      <w:pPr>
        <w:pStyle w:val="Standard"/>
        <w:numPr>
          <w:ilvl w:val="0"/>
          <w:numId w:val="7"/>
        </w:numPr>
        <w:shd w:val="clear" w:color="auto" w:fill="FFFFFF"/>
        <w:tabs>
          <w:tab w:val="left" w:pos="-2268"/>
        </w:tabs>
        <w:spacing w:after="0" w:line="240" w:lineRule="atLeast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Раздел 4 «Основные мероприятия, направленные на повышение эффективности и качества предоставляемых услуг в сфере культуры, связанные с переходом на эффективный контракт» изложить в следующей редакции:</w:t>
      </w:r>
    </w:p>
    <w:p w:rsidR="00C86C57" w:rsidRDefault="00CE5B68" w:rsidP="00D26898">
      <w:pPr>
        <w:pStyle w:val="Standard"/>
        <w:shd w:val="clear" w:color="auto" w:fill="FFFFFF"/>
        <w:tabs>
          <w:tab w:val="left" w:pos="-2268"/>
        </w:tabs>
        <w:spacing w:after="0" w:line="240" w:lineRule="atLeast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«4.Основные мероприятия, направленные на повышение эффективности и качества предоставляемых услуг в сфере культуры, связанные с переходом на эффективный контракт</w:t>
      </w: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pageBreakBefore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3379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a9"/>
        <w:sectPr w:rsidR="00C86C57">
          <w:headerReference w:type="even" r:id="rId9"/>
          <w:pgSz w:w="11906" w:h="16838"/>
          <w:pgMar w:top="708" w:right="850" w:bottom="708" w:left="1701" w:header="57" w:footer="57" w:gutter="0"/>
          <w:cols w:space="720"/>
          <w:titlePg/>
        </w:sectPr>
      </w:pPr>
    </w:p>
    <w:p w:rsidR="00C86C57" w:rsidRDefault="00CE5B68" w:rsidP="00D26898">
      <w:pPr>
        <w:pStyle w:val="Standard"/>
        <w:shd w:val="clear" w:color="auto" w:fill="FFFFFF"/>
        <w:tabs>
          <w:tab w:val="left" w:pos="3379"/>
          <w:tab w:val="center" w:pos="5757"/>
          <w:tab w:val="right" w:pos="10435"/>
        </w:tabs>
        <w:spacing w:after="0" w:line="240" w:lineRule="atLeast"/>
        <w:jc w:val="center"/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4. Основные мероприятия, направленные на повышение эффективности и качества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предоставляемых услуг в сфере культуры, связанные с переходом на эффективный контракт</w:t>
      </w:r>
    </w:p>
    <w:p w:rsidR="00C86C57" w:rsidRDefault="00C86C57">
      <w:pPr>
        <w:pStyle w:val="Standard"/>
        <w:shd w:val="clear" w:color="auto" w:fill="FFFFFF"/>
        <w:tabs>
          <w:tab w:val="left" w:pos="3379"/>
          <w:tab w:val="center" w:pos="5757"/>
          <w:tab w:val="right" w:pos="10435"/>
        </w:tabs>
        <w:spacing w:after="0" w:line="240" w:lineRule="atLeast"/>
        <w:ind w:left="1080" w:hanging="360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C86C57" w:rsidRDefault="00C86C57">
      <w:pPr>
        <w:pStyle w:val="Standard"/>
        <w:shd w:val="clear" w:color="auto" w:fill="FFFFFF"/>
        <w:tabs>
          <w:tab w:val="left" w:pos="2299"/>
          <w:tab w:val="center" w:pos="4677"/>
          <w:tab w:val="right" w:pos="9355"/>
        </w:tabs>
        <w:spacing w:after="0" w:line="240" w:lineRule="atLeast"/>
        <w:ind w:firstLine="720"/>
        <w:jc w:val="both"/>
        <w:rPr>
          <w:rFonts w:eastAsia="Times New Roman" w:cs="Times New Roman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5082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16"/>
        <w:gridCol w:w="3963"/>
        <w:gridCol w:w="2070"/>
        <w:gridCol w:w="3690"/>
        <w:gridCol w:w="2343"/>
      </w:tblGrid>
      <w:tr w:rsidR="00C86C57" w:rsidTr="00D648C0">
        <w:trPr>
          <w:tblHeader/>
        </w:trPr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№</w:t>
            </w:r>
          </w:p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/п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Результат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Сроки исполнения</w:t>
            </w:r>
          </w:p>
        </w:tc>
      </w:tr>
      <w:tr w:rsidR="00606D2A" w:rsidTr="00BD345B">
        <w:tc>
          <w:tcPr>
            <w:tcW w:w="150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D2A" w:rsidRPr="00606D2A" w:rsidRDefault="00606D2A" w:rsidP="00606D2A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26898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4.1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Совершенствование системы оплаты труда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4.1.1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Разработка (изменение) и утверждение  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показателей эффективности деятельности руководителей муниципальных учреждений культуры</w:t>
            </w:r>
            <w:proofErr w:type="gramEnd"/>
          </w:p>
          <w:p w:rsidR="00C86C57" w:rsidRDefault="00C86C57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</w:p>
          <w:p w:rsidR="00C86C57" w:rsidRDefault="00C86C57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Постановление администрации сельского поселения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Константиновский СДК, глава администрации сельского поселения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ежегодно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4.1.2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Разработка (изменение) показателей эффективности деятельности  муниципальных учреждений культуры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Постановление администрации сельского поселения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Директор МКУК Константиновский СДК, </w:t>
            </w: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глава администрации сельского поселени</w:t>
            </w:r>
            <w:r w:rsidR="00D2689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я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3 квартал</w:t>
            </w:r>
          </w:p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2014 года,</w:t>
            </w:r>
          </w:p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далее ежегодно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4.1.3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Осуществление мероприятий по внедрению утвержденных типовых отраслевых норм труда и формирование штатной численности работников учреждений культуры:</w:t>
            </w:r>
            <w:r w:rsidR="00D2689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библиотек, музеев, культурно-досуговых учреждений и учреждений исполнительских искусств на основе методических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рекомендаций Министерства культуры Российской Федерации с учетом необходимости качественного оказания муниципальных услуг (выполнения работ)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Приказ руководителя муниципального учреждения культуры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Константиновский СДК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2015-2018 годы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4.1.4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Осуществление мероприятий по проведению систем нормирования труда в муниципальных учреждениях культуры с учетом типовых (межотраслевых) норм труда,</w:t>
            </w:r>
            <w:r w:rsidR="00D648C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методических рекомендаций,</w:t>
            </w:r>
            <w:r w:rsidR="00D648C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утвержденных приказом Минтруда России от 30.09.2013 № 504 «Об утверждении методических рекомендаций по разработке систем нормирования труда в государственных (муниципальных) учреждениях»</w:t>
            </w:r>
          </w:p>
          <w:p w:rsidR="00C86C57" w:rsidRDefault="00C86C57" w:rsidP="00D648C0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Доклад о результатах и основных направлениях деятельности муниципальных учреждений культуры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Константиновский СДК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ежегодно,</w:t>
            </w:r>
          </w:p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с 2014 года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26898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4.1.5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</w:pPr>
            <w:proofErr w:type="gramStart"/>
            <w:r>
              <w:t xml:space="preserve">Уточнение потребности в дополнительных ресурсах на повышение заработной платы работников учреждений культуры с учетом возможного привлечения не менее трети средств за счет реорганизации </w:t>
            </w:r>
            <w:r>
              <w:lastRenderedPageBreak/>
              <w:t>неэффективных учреждений и программ, а также по возможному привлечению средств от приносящей доход деятельности (включая мероприятии по максимальному использованию закрепленных площадей и имущества, по расширению перечня платных услуг, повышению доступности информации об услугах учреждений культуры)</w:t>
            </w:r>
            <w:proofErr w:type="gramEnd"/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lastRenderedPageBreak/>
              <w:t xml:space="preserve">Доклад о результатах и основных направлениях деятельности муниципальных учреждений </w:t>
            </w:r>
            <w:r>
              <w:lastRenderedPageBreak/>
              <w:t>культуры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Директор МКУК Константиновский СДК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Ежегодно с 2014 года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26898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4.1.6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D26898" w:rsidP="00D648C0">
            <w:pPr>
              <w:pStyle w:val="Standard"/>
              <w:shd w:val="clear" w:color="auto" w:fill="FFFFFF"/>
              <w:spacing w:after="0" w:line="240" w:lineRule="auto"/>
              <w:jc w:val="both"/>
            </w:pPr>
            <w:r>
              <w:t>Внедрение нормативно-</w:t>
            </w:r>
            <w:proofErr w:type="spellStart"/>
            <w:r>
              <w:t>подуш</w:t>
            </w:r>
            <w:r w:rsidR="00CE5B68">
              <w:t>евого</w:t>
            </w:r>
            <w:proofErr w:type="spellEnd"/>
            <w:r w:rsidR="00CE5B68">
              <w:t xml:space="preserve"> финансирования в муниципальных учреждениях культуры, в том числе: утверждение ведомственных перечней муниципальных услуг и работ, оказываемы</w:t>
            </w:r>
            <w:proofErr w:type="gramStart"/>
            <w:r w:rsidR="00CE5B68">
              <w:t>х(</w:t>
            </w:r>
            <w:proofErr w:type="gramEnd"/>
            <w:r w:rsidR="00CE5B68">
              <w:t xml:space="preserve">выполняемых) муниципальными учреждениями в качестве основных видов деятельности; внедрение методики расчета нормативных затрат на оказание муниципальных услуг (выполнение работ),утверждаемой постановлением </w:t>
            </w:r>
            <w:r w:rsidR="00CE5B68">
              <w:lastRenderedPageBreak/>
              <w:t>администрации Малмыжского района</w:t>
            </w:r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lastRenderedPageBreak/>
              <w:t>Приказ директора МКУК Константиновского СДК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Константиновского СДК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2014-2018 годы 2014 год   2014-2016 годы</w:t>
            </w:r>
          </w:p>
        </w:tc>
      </w:tr>
      <w:tr w:rsidR="00606D2A" w:rsidTr="006D6E41">
        <w:tc>
          <w:tcPr>
            <w:tcW w:w="150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D2A" w:rsidRPr="00606D2A" w:rsidRDefault="00606D2A" w:rsidP="00606D2A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26898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4.2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Создание прозрачного </w:t>
            </w:r>
            <w:proofErr w:type="gramStart"/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механизма оплаты труда руководителей муниципальных учреждений  культуры</w:t>
            </w:r>
            <w:proofErr w:type="gramEnd"/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4.2.1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Контроль за выполнением в полном объеме мер по созданию прозрачного 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механизма оплаты труда руководителей учреждений</w:t>
            </w:r>
            <w:proofErr w:type="gram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культуры, включая организацию мероприятий по представлению руководителями учреждения культуры сведений о доходах, об имуществе и обязательствах имущественного характера и размещению ее в информационно-телекоммуникационной сети «Интернет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Размещение в информационн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о-</w:t>
            </w:r>
            <w:proofErr w:type="gram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телекоммуникационной сети «Интернет» 100% сведений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глава администрации сельского поселения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ежегодно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4.2.2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Заключение дополнительных соглашений к трудовым договорам с руководителями учреждений по типовой форме, утвержденной постановление Правительства Российской Федерации от 12.04.2013 №329 «О типовой форме трудового договора с руководителем государственного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(муниципального) учреждения;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Трудовые договоры (дополнительные соглашения к трудовым договорам) с руководителями учреждений культуры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глава администрации сельского поселения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ежегодно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4.2.3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Соблюдение установленного соотношения средней заработной платы работников учреждений(1:3)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Поддержание установленного уровня соотношения средней заработной платы руководителей учреждений и средней заработной платы работников учреждений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глава администрации сельского поселения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ежегодно</w:t>
            </w:r>
          </w:p>
        </w:tc>
      </w:tr>
      <w:tr w:rsidR="00606D2A" w:rsidTr="00A23A17">
        <w:tc>
          <w:tcPr>
            <w:tcW w:w="150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D2A" w:rsidRPr="00606D2A" w:rsidRDefault="00606D2A" w:rsidP="00606D2A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26898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4.3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 w:rsidRPr="00D26898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Развитие кадрового потенциала работников муниципальных учреждений культуры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4.3.1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Внедрение 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показателей эффективности деятельности работников муниципальных учреждений культуры</w:t>
            </w:r>
            <w:proofErr w:type="gramEnd"/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Приказы руководителей</w:t>
            </w:r>
          </w:p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муниципальных учреждений  культуры, трудовые договоры (дополнительные соглашения к трудовым договорам)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Константиновский СДК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2014 год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4.3.2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Pr="00D26898" w:rsidRDefault="00CE5B68" w:rsidP="00D648C0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 w:rsidRPr="00D26898">
              <w:rPr>
                <w:rFonts w:ascii="Times New Roman" w:hAnsi="Times New Roman" w:cs="Times New Roman"/>
                <w:b w:val="0"/>
                <w:i w:val="0"/>
              </w:rPr>
              <w:t xml:space="preserve">Проведение аттестации </w:t>
            </w:r>
            <w:r w:rsidRPr="00D26898">
              <w:rPr>
                <w:rFonts w:ascii="Times New Roman" w:hAnsi="Times New Roman" w:cs="Times New Roman"/>
                <w:b w:val="0"/>
                <w:i w:val="0"/>
              </w:rPr>
              <w:lastRenderedPageBreak/>
              <w:t xml:space="preserve">работников муниципальных учреждений культуры в соответствии с рекомендациями, утвержденными приказом Министерства труда и социальной защиты Российской Федерации от 26.04.2013 №167н «Об утверждении рекомендаций по оформлению трудовых отношений с работником государственного (муниципального) учреждения при введении в 2014-2015 годах «эффективного контракта»  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Приказ директора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МКУК Константиновского СДК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Директор МКУК Константиновский СДК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2014-2015 годы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4.3.3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Проведение мероприятий по организации заключения дополнительных соглашений к трудовым договорам (новых трудовых договоров) с работниками   учреждений культуры в соответствии с примерной формой трудового договор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а(</w:t>
            </w:r>
            <w:proofErr w:type="gram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«эффективный контракт») в сфере культуры и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анализ лучших практик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Трудовые договоры работников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Константиновский СДК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ежегодно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4.3.4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Внедрение профессиональных стандартов работников учреждений культуры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Приказ директора МКУК Константиновского СДК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Константиновский СДК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2015-2018 годы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26898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4.3.5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Обеспечение дифференциации оплаты труда основного и прочего персонала, оптимизация расходов на административно-управленческий и вспомогательный персонал муниципальных учреждений культуры с учетом предельной доли расходов на оплату их труда в фонде оплаты труда учреждения не более 40 процентов</w:t>
            </w:r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Постановление администрации Малмыжского района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-66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Управление культуры,</w:t>
            </w:r>
            <w:r w:rsidR="00D2689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молодежной политики и спорта администрации Малмыжского района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2014-2015 годы</w:t>
            </w:r>
          </w:p>
        </w:tc>
      </w:tr>
      <w:tr w:rsidR="00606D2A" w:rsidTr="007F4E8A">
        <w:tc>
          <w:tcPr>
            <w:tcW w:w="150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D2A" w:rsidRPr="00606D2A" w:rsidRDefault="00606D2A" w:rsidP="00606D2A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648C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4.4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 w:rsidRPr="00D648C0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Мониторинг достижения целевых показателей средней заработной платы отдельных категорий работников, определённых Указом Президента Российской федерации от 07.05.2012 № 597 </w:t>
            </w:r>
            <w:r w:rsidRPr="00D648C0"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  <w:t>«О</w:t>
            </w:r>
            <w:r w:rsidRPr="00D648C0">
              <w:rPr>
                <w:rFonts w:eastAsia="Times New Roman" w:cs="Times New Roman"/>
                <w:b/>
                <w:szCs w:val="28"/>
                <w:lang w:eastAsia="ru-RU"/>
              </w:rPr>
              <w:t xml:space="preserve"> мероприятиях по реализации государственной социальной политики»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4.4.1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Проведение анализа уровня и динамики заработной платы работников учреждений культуры, повышение заработной платы которых предусмотрено Указом Президента Российской Федерации от 07.05.2012 №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597 «О мероприятиях по реализации государственной социальной политики»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Информация о среднемесячной заработной плате работников учреждений культуры и образования в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сфере культуры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Директор МКУК Константиновский СДК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ежемесячно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4.4.2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Проведение 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анализа кадрового состава работников учреждений культуры</w:t>
            </w:r>
            <w:proofErr w:type="gram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 учетом ситуации на рынке труда, в том числе в части дефицита (избытка) кадров отдельных категорий работников, определенных Указом Президента Российской Федерации от 07.05.2012 № 597 «О мероприятиях по реализации государственной социальной политики»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Информация о кадровом составе работников учреждений культуры с учетом ситуации на рынке труда, в том числе в части дефицита (избытка) кадров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Константиновский СДК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ежеквартально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D648C0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4.4.3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Деятельность постоянно действующей рабочей группы по оценке результатов реализации «дорожной карты»</w:t>
            </w:r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t>Постановление администрации сельского поселения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Глава администрации сельского поселения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ежегодно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D648C0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4.4.4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Проведение мониторинга реализации мероприятий по этапному повышению 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t>Отчет руководителей муниципальных учреждений культуры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Глава администрации сельского поселения, директор МКУК Константиновского СДК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Ежегодно, с 2014 года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D648C0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4.4.5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Уточнение потребности в дополнительных ресурсах на повышение заработной платы работников учреждений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культуры с учетом возможного привлечения не менее трети средств за счет реорганизации неэффективных учреждений</w:t>
            </w:r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lastRenderedPageBreak/>
              <w:t xml:space="preserve">Информация о потребности в дополнительных ресурсах на </w:t>
            </w:r>
            <w:r>
              <w:lastRenderedPageBreak/>
              <w:t>повышение заработной платы работников учреждений культуры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Глава администрации сельского поселения,</w:t>
            </w:r>
            <w:r w:rsidR="00D2689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Константиновского СДК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ежегодно</w:t>
            </w:r>
          </w:p>
        </w:tc>
      </w:tr>
      <w:tr w:rsidR="00606D2A" w:rsidTr="00830630">
        <w:tc>
          <w:tcPr>
            <w:tcW w:w="15082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D2A" w:rsidRPr="00D26898" w:rsidRDefault="00606D2A" w:rsidP="00606D2A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26898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4.5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 w:rsidRPr="00D26898"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  <w:t xml:space="preserve">Независимая система </w:t>
            </w:r>
            <w:proofErr w:type="gramStart"/>
            <w:r w:rsidRPr="00D26898"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  <w:t>оценки качества работы муниципальных учреждений культуры</w:t>
            </w:r>
            <w:proofErr w:type="gramEnd"/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D2689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4.5.</w:t>
            </w:r>
            <w:r w:rsidR="00CE5B6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Обеспечение координации работы муниципальных учреждений культуры, образование в сфере культуры по реализации независимой 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системы оценки качества работы муниципальных учреждений культуры</w:t>
            </w:r>
            <w:proofErr w:type="gramEnd"/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t>Постановление администрации Малмыжского района об уполномоченном органе по проведению независимой оценки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3 квартал 2014 года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26898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4.5.2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Завершение с участием общественных организаций, профессиональных сообществ, независимых экспертов формирования общественного совета по проведению независимой 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оценки качества работы муниципальных учреждений культуры</w:t>
            </w:r>
            <w:proofErr w:type="gram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 состояние рейтингов</w:t>
            </w:r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t>Постановление администрации Малмыжского района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Управление культуры, молодежной политики и спорта администрации Малмыжского района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3 квартал 2014 года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Pr="00D26898" w:rsidRDefault="00CE5B68" w:rsidP="00D26898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 w:rsidRPr="00D2689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4.5.3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Pr="00D26898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2689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Обеспечение организационно-технического сопровождения деятельности общественного </w:t>
            </w:r>
            <w:r w:rsidRPr="00D26898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совета</w:t>
            </w:r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Pr="00D26898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D26898">
              <w:lastRenderedPageBreak/>
              <w:t xml:space="preserve">Постановление администрации </w:t>
            </w:r>
            <w:r w:rsidRPr="00D26898">
              <w:lastRenderedPageBreak/>
              <w:t>Малмыжского района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Pr="00D26898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26898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Глава администрации сельского поселения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Pr="00D26898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 w:rsidRPr="00D26898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ежегодно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26898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4.5.4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Активизация участия социально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арентированных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некоммерческих организаций в проведении независимой оценки</w:t>
            </w:r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t>Выделение финансовой поддержки социально ориентированным некоммерческим организациям в установленном порядке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Глава администрации сельского поселения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2015 год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26898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4.5.5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Обеспечение открытости и доступности информации о деятельности всех муниципальных учреждений культуры</w:t>
            </w:r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t>Создание официальных сайтов муниципальных учреждений культуры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Глава администрации сельского поселения, директор МКУК Константиновского СДК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2015 год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26898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4.5.6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Проведение мониторинга работы муниципальных учреждений культуры,</w:t>
            </w:r>
            <w:r w:rsidR="00D2689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формирование независимой оценки качества работы муниципальных учреждений культуры, составление рейтингов их деятельности с принятыми и методическими документами</w:t>
            </w:r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t>Публикация рейтингов деятельности, разработка и утверждение планов работы муниципальных учреждений  культуры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МКУК Константиновский СДК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2015 год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26898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4.5.7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Проведение информационной кампании в средствах </w:t>
            </w:r>
            <w:r w:rsidR="00D26898">
              <w:rPr>
                <w:rFonts w:eastAsia="Times New Roman" w:cs="Times New Roman"/>
                <w:color w:val="000000"/>
                <w:szCs w:val="28"/>
                <w:lang w:eastAsia="ru-RU"/>
              </w:rPr>
              <w:t>массовой информации в том числе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: с использованием информационно-телекоммуникационной сети «Интернет» о функционировании независимой оценки качества муниципальных учреждений культуры</w:t>
            </w:r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t>Повышение информированности потребителей услуг и общественности о проведении независимой оценки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Константиновского СДК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ежегодно</w:t>
            </w:r>
          </w:p>
        </w:tc>
      </w:tr>
      <w:tr w:rsidR="00C86C57" w:rsidTr="00D648C0">
        <w:tc>
          <w:tcPr>
            <w:tcW w:w="30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26898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4.5.8</w:t>
            </w:r>
          </w:p>
        </w:tc>
        <w:tc>
          <w:tcPr>
            <w:tcW w:w="3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Проведение 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мониторинга функционирования независимой системы оценки качества работы муниципальных учреждений культуры</w:t>
            </w:r>
            <w:proofErr w:type="gramEnd"/>
          </w:p>
        </w:tc>
        <w:tc>
          <w:tcPr>
            <w:tcW w:w="20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</w:pPr>
            <w:r w:rsidRPr="00D26898">
              <w:t>Отчет о реализации независимой системы в Министерство культуры Российской Федерации и в Министерство труда и социальной защиты Российской Федерации,</w:t>
            </w:r>
            <w:r w:rsidR="00D26898">
              <w:t xml:space="preserve"> </w:t>
            </w:r>
            <w:r w:rsidRPr="00D26898">
              <w:t>заполнение форм отчетности в соответствии</w:t>
            </w:r>
            <w:r>
              <w:t xml:space="preserve"> с приказом </w:t>
            </w:r>
            <w:r>
              <w:lastRenderedPageBreak/>
              <w:t>Министерства труда и социальной защиты Российской Федерации от 31.05.2013 № 234а</w:t>
            </w:r>
          </w:p>
        </w:tc>
        <w:tc>
          <w:tcPr>
            <w:tcW w:w="36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Директор МКУК Константиновского СДК</w:t>
            </w:r>
          </w:p>
        </w:tc>
        <w:tc>
          <w:tcPr>
            <w:tcW w:w="23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ежегодно</w:t>
            </w:r>
          </w:p>
        </w:tc>
      </w:tr>
      <w:tr w:rsidR="00606D2A" w:rsidTr="00440E8D">
        <w:tc>
          <w:tcPr>
            <w:tcW w:w="1508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D2A" w:rsidRPr="00D26898" w:rsidRDefault="00606D2A" w:rsidP="00606D2A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D26898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4.6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 xml:space="preserve"> </w:t>
            </w:r>
            <w:r w:rsidRPr="00D26898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Сопровождение «дорожной карты»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4.6.1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hd w:val="clear" w:color="auto" w:fill="FFFFFF"/>
              <w:spacing w:after="0" w:line="240" w:lineRule="auto"/>
              <w:jc w:val="both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Разработка, утверждение и актуализация муниципальными учреждениями культуры планов мероприятий по повышению эффективности деятельности в части оказания муниципальных услуг на основе целевых показателей деятельности учреждения, совершенствованию оплаты труда соответствующих категорий работников, и </w:t>
            </w:r>
            <w:proofErr w:type="gram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их выполнением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Приказы руководителей муниципальных учреждений культуры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Директор МКУК Константиновский СДК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Cs/>
                <w:color w:val="000000"/>
                <w:szCs w:val="28"/>
                <w:lang w:val="en-US" w:eastAsia="ru-RU"/>
              </w:rPr>
              <w:t xml:space="preserve">2014 </w:t>
            </w: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год  ежегодно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4.6.2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pacing w:after="0" w:line="240" w:lineRule="auto"/>
              <w:jc w:val="both"/>
            </w:pPr>
            <w:r>
              <w:rPr>
                <w:rFonts w:eastAsia="Times New Roman" w:cs="Times New Roman"/>
                <w:color w:val="1D1D1D"/>
                <w:szCs w:val="28"/>
                <w:lang w:eastAsia="ru-RU"/>
              </w:rPr>
              <w:t>Заключение соглашений   с органами местного самоуправления поселений по повышению эффективности и качества услуг в сферах образования и культуры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Соглашения между администрацией Малмыжского района и администрацие</w:t>
            </w: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>й  сельского поселения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 Глава администрации сельского поселения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ежегодно</w:t>
            </w:r>
          </w:p>
        </w:tc>
      </w:tr>
      <w:tr w:rsidR="00C86C57" w:rsidTr="00D648C0">
        <w:tc>
          <w:tcPr>
            <w:tcW w:w="3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lastRenderedPageBreak/>
              <w:t>4.6.3</w:t>
            </w:r>
          </w:p>
        </w:tc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Информационное сопровождение «дорожной карты»: организация проведения разъяснительной работы с участием профсоюзных организаций о мероприятиях, реализуемых в рамках «дорожной карты», в том числе о мерах по повышению оплаты труда; публикации в средствах массовой информации; проведение семинаров и других мероприятий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Публикации в средствах массовой информации, проведение семинаров и других мероприятий</w:t>
            </w:r>
          </w:p>
        </w:tc>
        <w:tc>
          <w:tcPr>
            <w:tcW w:w="3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Глава администрации сельского поселения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C57" w:rsidRDefault="00CE5B68" w:rsidP="00D648C0">
            <w:pPr>
              <w:pStyle w:val="Standard"/>
              <w:tabs>
                <w:tab w:val="left" w:pos="700"/>
                <w:tab w:val="center" w:pos="4677"/>
                <w:tab w:val="right" w:pos="9355"/>
              </w:tabs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ежегодно</w:t>
            </w:r>
          </w:p>
        </w:tc>
      </w:tr>
    </w:tbl>
    <w:p w:rsidR="00C86C57" w:rsidRDefault="00D648C0">
      <w:pPr>
        <w:pStyle w:val="Standard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textWrapping" w:clear="all"/>
      </w:r>
    </w:p>
    <w:p w:rsidR="00C86C57" w:rsidRDefault="00CE5B68">
      <w:pPr>
        <w:pStyle w:val="Standard"/>
        <w:spacing w:after="0" w:line="240" w:lineRule="auto"/>
        <w:ind w:left="1068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*Органы и организации, участвующие в реализации «дорожной карты» по согласованию.</w:t>
      </w:r>
    </w:p>
    <w:p w:rsidR="00C86C57" w:rsidRDefault="00C86C57">
      <w:pPr>
        <w:pStyle w:val="Standard"/>
        <w:spacing w:after="0" w:line="240" w:lineRule="auto"/>
        <w:ind w:left="1068"/>
        <w:rPr>
          <w:rFonts w:eastAsia="Times New Roman" w:cs="Times New Roman"/>
          <w:sz w:val="24"/>
          <w:szCs w:val="24"/>
          <w:lang w:eastAsia="ru-RU"/>
        </w:rPr>
      </w:pPr>
    </w:p>
    <w:p w:rsidR="00C86C57" w:rsidRDefault="00CE5B68">
      <w:pPr>
        <w:pStyle w:val="Standard"/>
        <w:spacing w:after="0" w:line="240" w:lineRule="auto"/>
        <w:ind w:left="1068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___________</w:t>
      </w:r>
    </w:p>
    <w:p w:rsidR="00C86C57" w:rsidRDefault="00C86C57">
      <w:pPr>
        <w:pStyle w:val="Standard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C86C57" w:rsidRDefault="00C86C57">
      <w:pPr>
        <w:pStyle w:val="Standard"/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C86C57" w:rsidRDefault="00C86C57">
      <w:pPr>
        <w:pStyle w:val="Standard"/>
        <w:spacing w:after="0" w:line="240" w:lineRule="auto"/>
        <w:rPr>
          <w:rFonts w:eastAsia="Times New Roman" w:cs="Times New Roman"/>
          <w:szCs w:val="28"/>
          <w:lang w:eastAsia="ru-RU"/>
        </w:rPr>
        <w:sectPr w:rsidR="00C86C57">
          <w:headerReference w:type="default" r:id="rId10"/>
          <w:footerReference w:type="default" r:id="rId11"/>
          <w:pgSz w:w="16838" w:h="11906" w:orient="landscape"/>
          <w:pgMar w:top="1049" w:right="720" w:bottom="709" w:left="539" w:header="992" w:footer="142" w:gutter="0"/>
          <w:cols w:space="720"/>
        </w:sectPr>
      </w:pPr>
    </w:p>
    <w:p w:rsidR="00C86C57" w:rsidRDefault="00C86C57" w:rsidP="00D648C0">
      <w:pPr>
        <w:jc w:val="both"/>
      </w:pPr>
    </w:p>
    <w:sectPr w:rsidR="00C86C57">
      <w:headerReference w:type="default" r:id="rId12"/>
      <w:footerReference w:type="default" r:id="rId13"/>
      <w:pgSz w:w="11906" w:h="16838"/>
      <w:pgMar w:top="766" w:right="851" w:bottom="766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CB5" w:rsidRDefault="00F72CB5">
      <w:pPr>
        <w:spacing w:after="0" w:line="240" w:lineRule="auto"/>
      </w:pPr>
      <w:r>
        <w:separator/>
      </w:r>
    </w:p>
  </w:endnote>
  <w:endnote w:type="continuationSeparator" w:id="0">
    <w:p w:rsidR="00F72CB5" w:rsidRDefault="00F72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6F" w:rsidRDefault="008632C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6F" w:rsidRDefault="008632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CB5" w:rsidRDefault="00F72CB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72CB5" w:rsidRDefault="00F72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6F" w:rsidRDefault="00CE5B68">
    <w:pPr>
      <w:pStyle w:val="a8"/>
    </w:pPr>
    <w:r>
      <w:fldChar w:fldCharType="begin"/>
    </w:r>
    <w:r>
      <w:instrText xml:space="preserve"> PAGE </w:instrText>
    </w:r>
    <w:r>
      <w:fldChar w:fldCharType="separate"/>
    </w:r>
    <w:r w:rsidR="008632C0">
      <w:rPr>
        <w:noProof/>
      </w:rPr>
      <w:t>10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6F" w:rsidRDefault="008632C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96F" w:rsidRDefault="008632C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7E67"/>
    <w:multiLevelType w:val="multilevel"/>
    <w:tmpl w:val="13EA74B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35216A51"/>
    <w:multiLevelType w:val="multilevel"/>
    <w:tmpl w:val="F3DA78B2"/>
    <w:lvl w:ilvl="0">
      <w:start w:val="3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7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45226A1B"/>
    <w:multiLevelType w:val="multilevel"/>
    <w:tmpl w:val="926A5A48"/>
    <w:styleLink w:val="WWNum3"/>
    <w:lvl w:ilvl="0">
      <w:start w:val="2013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751C0C59"/>
    <w:multiLevelType w:val="multilevel"/>
    <w:tmpl w:val="CCAC7950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86C57"/>
    <w:rsid w:val="00032B5B"/>
    <w:rsid w:val="00126C45"/>
    <w:rsid w:val="001D1545"/>
    <w:rsid w:val="005A1084"/>
    <w:rsid w:val="00606D2A"/>
    <w:rsid w:val="00640688"/>
    <w:rsid w:val="00677437"/>
    <w:rsid w:val="00747A9D"/>
    <w:rsid w:val="008632C0"/>
    <w:rsid w:val="00BD3FF8"/>
    <w:rsid w:val="00C31E9C"/>
    <w:rsid w:val="00C86C57"/>
    <w:rsid w:val="00CE5B68"/>
    <w:rsid w:val="00D26898"/>
    <w:rsid w:val="00D648C0"/>
    <w:rsid w:val="00E91020"/>
    <w:rsid w:val="00EA7510"/>
    <w:rsid w:val="00F7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ahoma"/>
        <w:kern w:val="3"/>
        <w:sz w:val="28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0"/>
    <w:next w:val="Textbody"/>
    <w:pPr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hAnsi="Arial" w:cs="Mang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0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hAnsi="Arial" w:cs="Mangal"/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Arial" w:hAnsi="Arial" w:cs="Mangal"/>
      <w:sz w:val="24"/>
    </w:rPr>
  </w:style>
  <w:style w:type="paragraph" w:styleId="a7">
    <w:name w:val="List Paragraph"/>
    <w:basedOn w:val="Standard"/>
  </w:style>
  <w:style w:type="paragraph" w:styleId="a8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a">
    <w:name w:val="Верхний колонтитул Знак"/>
    <w:basedOn w:val="a1"/>
  </w:style>
  <w:style w:type="character" w:styleId="ab">
    <w:name w:val="page number"/>
    <w:basedOn w:val="a1"/>
  </w:style>
  <w:style w:type="character" w:customStyle="1" w:styleId="ac">
    <w:name w:val="Нижний колонтитул Знак"/>
    <w:basedOn w:val="a1"/>
  </w:style>
  <w:style w:type="character" w:customStyle="1" w:styleId="NumberingSymbols">
    <w:name w:val="Numbering Symbols"/>
  </w:style>
  <w:style w:type="numbering" w:customStyle="1" w:styleId="WWNum1">
    <w:name w:val="WWNum1"/>
    <w:basedOn w:val="a3"/>
    <w:pPr>
      <w:numPr>
        <w:numId w:val="1"/>
      </w:numPr>
    </w:pPr>
  </w:style>
  <w:style w:type="numbering" w:customStyle="1" w:styleId="WWNum2">
    <w:name w:val="WWNum2"/>
    <w:basedOn w:val="a3"/>
    <w:pPr>
      <w:numPr>
        <w:numId w:val="2"/>
      </w:numPr>
    </w:pPr>
  </w:style>
  <w:style w:type="numbering" w:customStyle="1" w:styleId="WWNum3">
    <w:name w:val="WWNum3"/>
    <w:basedOn w:val="a3"/>
    <w:pPr>
      <w:numPr>
        <w:numId w:val="3"/>
      </w:numPr>
    </w:pPr>
  </w:style>
  <w:style w:type="paragraph" w:styleId="ad">
    <w:name w:val="Balloon Text"/>
    <w:basedOn w:val="a"/>
    <w:link w:val="ae"/>
    <w:uiPriority w:val="99"/>
    <w:semiHidden/>
    <w:unhideWhenUsed/>
    <w:rsid w:val="00D648C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648C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ahoma"/>
        <w:kern w:val="3"/>
        <w:sz w:val="28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0"/>
    <w:next w:val="Textbody"/>
    <w:pPr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hAnsi="Arial" w:cs="Mang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0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hAnsi="Arial" w:cs="Mangal"/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Arial" w:hAnsi="Arial" w:cs="Mangal"/>
      <w:sz w:val="24"/>
    </w:rPr>
  </w:style>
  <w:style w:type="paragraph" w:styleId="a7">
    <w:name w:val="List Paragraph"/>
    <w:basedOn w:val="Standard"/>
  </w:style>
  <w:style w:type="paragraph" w:styleId="a8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a">
    <w:name w:val="Верхний колонтитул Знак"/>
    <w:basedOn w:val="a1"/>
  </w:style>
  <w:style w:type="character" w:styleId="ab">
    <w:name w:val="page number"/>
    <w:basedOn w:val="a1"/>
  </w:style>
  <w:style w:type="character" w:customStyle="1" w:styleId="ac">
    <w:name w:val="Нижний колонтитул Знак"/>
    <w:basedOn w:val="a1"/>
  </w:style>
  <w:style w:type="character" w:customStyle="1" w:styleId="NumberingSymbols">
    <w:name w:val="Numbering Symbols"/>
  </w:style>
  <w:style w:type="numbering" w:customStyle="1" w:styleId="WWNum1">
    <w:name w:val="WWNum1"/>
    <w:basedOn w:val="a3"/>
    <w:pPr>
      <w:numPr>
        <w:numId w:val="1"/>
      </w:numPr>
    </w:pPr>
  </w:style>
  <w:style w:type="numbering" w:customStyle="1" w:styleId="WWNum2">
    <w:name w:val="WWNum2"/>
    <w:basedOn w:val="a3"/>
    <w:pPr>
      <w:numPr>
        <w:numId w:val="2"/>
      </w:numPr>
    </w:pPr>
  </w:style>
  <w:style w:type="numbering" w:customStyle="1" w:styleId="WWNum3">
    <w:name w:val="WWNum3"/>
    <w:basedOn w:val="a3"/>
    <w:pPr>
      <w:numPr>
        <w:numId w:val="3"/>
      </w:numPr>
    </w:pPr>
  </w:style>
  <w:style w:type="paragraph" w:styleId="ad">
    <w:name w:val="Balloon Text"/>
    <w:basedOn w:val="a"/>
    <w:link w:val="ae"/>
    <w:uiPriority w:val="99"/>
    <w:semiHidden/>
    <w:unhideWhenUsed/>
    <w:rsid w:val="00D648C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648C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11467-8EA0-4A1B-8DA2-4FA5E082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12</cp:revision>
  <cp:lastPrinted>2014-12-23T04:56:00Z</cp:lastPrinted>
  <dcterms:created xsi:type="dcterms:W3CDTF">2014-11-13T10:18:00Z</dcterms:created>
  <dcterms:modified xsi:type="dcterms:W3CDTF">2014-12-23T10:41:00Z</dcterms:modified>
</cp:coreProperties>
</file>