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094CD7">
      <w:pPr>
        <w:spacing w:line="360" w:lineRule="auto"/>
        <w:ind w:right="141"/>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094CD7"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05.02.2020</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xml:space="preserve">      № 23</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w:t>
      </w:r>
      <w:r w:rsidR="00A32888">
        <w:rPr>
          <w:rFonts w:ascii="Times New Roman" w:hAnsi="Times New Roman"/>
          <w:b/>
          <w:sz w:val="28"/>
          <w:szCs w:val="28"/>
          <w:lang w:eastAsia="ar-SA"/>
        </w:rPr>
        <w:t>ородского поселения на 2018-2024</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2E6096">
        <w:rPr>
          <w:rFonts w:ascii="Times New Roman" w:hAnsi="Times New Roman"/>
          <w:sz w:val="28"/>
          <w:szCs w:val="28"/>
        </w:rPr>
        <w:t>регионального</w:t>
      </w:r>
      <w:r w:rsidRPr="006D6C65">
        <w:rPr>
          <w:rFonts w:ascii="Times New Roman" w:hAnsi="Times New Roman"/>
          <w:sz w:val="28"/>
          <w:szCs w:val="28"/>
        </w:rPr>
        <w:t xml:space="preserve">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w:t>
      </w:r>
      <w:r w:rsidRPr="006D6C65">
        <w:rPr>
          <w:rFonts w:ascii="Times New Roman" w:hAnsi="Times New Roman"/>
          <w:sz w:val="28"/>
          <w:szCs w:val="28"/>
        </w:rPr>
        <w:lastRenderedPageBreak/>
        <w:t>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6F5479" w:rsidRDefault="006F5479" w:rsidP="0004182B">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w:t>
      </w:r>
      <w:r w:rsidR="002E6096">
        <w:rPr>
          <w:rFonts w:ascii="Times New Roman" w:hAnsi="Times New Roman"/>
          <w:sz w:val="28"/>
          <w:szCs w:val="28"/>
          <w:lang w:eastAsia="ar-SA"/>
        </w:rPr>
        <w:t>ородского поселения на 2018-2024</w:t>
      </w:r>
      <w:r w:rsidR="007E1656" w:rsidRPr="007E1656">
        <w:rPr>
          <w:rFonts w:ascii="Times New Roman" w:hAnsi="Times New Roman"/>
          <w:sz w:val="28"/>
          <w:szCs w:val="28"/>
          <w:lang w:eastAsia="ar-SA"/>
        </w:rPr>
        <w:t xml:space="preserve"> годы»</w:t>
      </w:r>
      <w:r w:rsidR="007E1656">
        <w:rPr>
          <w:rFonts w:ascii="Times New Roman" w:hAnsi="Times New Roman"/>
          <w:sz w:val="28"/>
          <w:szCs w:val="28"/>
          <w:lang w:eastAsia="ar-SA"/>
        </w:rPr>
        <w:t xml:space="preserve"> (далее – Программа), а именно: </w:t>
      </w:r>
    </w:p>
    <w:p w:rsidR="005228C1" w:rsidRDefault="0004182B" w:rsidP="005228C1">
      <w:pPr>
        <w:tabs>
          <w:tab w:val="left" w:pos="993"/>
          <w:tab w:val="left" w:pos="1260"/>
        </w:tabs>
        <w:suppressAutoHyphens/>
        <w:autoSpaceDE w:val="0"/>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1.1</w:t>
      </w:r>
      <w:r w:rsidR="002E6096">
        <w:rPr>
          <w:rFonts w:ascii="Times New Roman" w:hAnsi="Times New Roman"/>
          <w:sz w:val="28"/>
          <w:szCs w:val="28"/>
          <w:lang w:eastAsia="ar-SA"/>
        </w:rPr>
        <w:t xml:space="preserve">. </w:t>
      </w:r>
      <w:r w:rsidR="00603883">
        <w:rPr>
          <w:rFonts w:ascii="Times New Roman" w:hAnsi="Times New Roman"/>
          <w:sz w:val="28"/>
          <w:szCs w:val="28"/>
          <w:lang w:eastAsia="ar-SA"/>
        </w:rPr>
        <w:t>В разделе 1</w:t>
      </w:r>
      <w:r w:rsidR="00DB5C22">
        <w:rPr>
          <w:rFonts w:ascii="Times New Roman" w:hAnsi="Times New Roman"/>
          <w:sz w:val="28"/>
          <w:szCs w:val="28"/>
          <w:lang w:eastAsia="ar-SA"/>
        </w:rPr>
        <w:t xml:space="preserve"> «</w:t>
      </w:r>
      <w:r w:rsidR="00603883">
        <w:rPr>
          <w:rFonts w:ascii="Times New Roman" w:hAnsi="Times New Roman"/>
          <w:sz w:val="28"/>
          <w:szCs w:val="28"/>
          <w:lang w:eastAsia="ar-SA"/>
        </w:rPr>
        <w:t>Паспорт Программы» абзац «Объемы бюджетных ассигнований муниципальной программы»</w:t>
      </w:r>
      <w:r w:rsidR="00083D30">
        <w:rPr>
          <w:rFonts w:ascii="Times New Roman" w:hAnsi="Times New Roman"/>
          <w:sz w:val="28"/>
          <w:szCs w:val="28"/>
          <w:lang w:eastAsia="ar-SA"/>
        </w:rPr>
        <w:t>, изложить в новой редакции:</w:t>
      </w:r>
    </w:p>
    <w:tbl>
      <w:tblPr>
        <w:tblStyle w:val="a3"/>
        <w:tblW w:w="0" w:type="auto"/>
        <w:tblLook w:val="04A0"/>
      </w:tblPr>
      <w:tblGrid>
        <w:gridCol w:w="4798"/>
        <w:gridCol w:w="4798"/>
      </w:tblGrid>
      <w:tr w:rsidR="00083D30" w:rsidTr="00083D30">
        <w:tc>
          <w:tcPr>
            <w:tcW w:w="4798" w:type="dxa"/>
          </w:tcPr>
          <w:p w:rsidR="00083D30" w:rsidRPr="006D6C65" w:rsidRDefault="00083D30" w:rsidP="00C02B2C">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4798" w:type="dxa"/>
          </w:tcPr>
          <w:p w:rsidR="00083D30" w:rsidRPr="006D6C65" w:rsidRDefault="00083D30" w:rsidP="00C02B2C">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Pr>
                <w:rFonts w:ascii="Times New Roman" w:hAnsi="Times New Roman"/>
                <w:sz w:val="28"/>
                <w:szCs w:val="28"/>
                <w:lang w:eastAsia="ru-RU"/>
              </w:rPr>
              <w:t>льной программы, составляет 19960,92 тыс. руб.</w:t>
            </w:r>
          </w:p>
          <w:p w:rsidR="00083D30" w:rsidRPr="006D6C65" w:rsidRDefault="00083D30" w:rsidP="00C02B2C">
            <w:pPr>
              <w:spacing w:after="0" w:line="240" w:lineRule="auto"/>
              <w:jc w:val="both"/>
              <w:rPr>
                <w:rFonts w:ascii="Times New Roman" w:hAnsi="Times New Roman"/>
                <w:sz w:val="28"/>
                <w:szCs w:val="28"/>
                <w:lang w:eastAsia="ru-RU"/>
              </w:rPr>
            </w:pPr>
          </w:p>
        </w:tc>
      </w:tr>
    </w:tbl>
    <w:p w:rsidR="00083D30" w:rsidRDefault="00083D30" w:rsidP="005228C1">
      <w:pPr>
        <w:tabs>
          <w:tab w:val="left" w:pos="993"/>
          <w:tab w:val="left" w:pos="1260"/>
        </w:tabs>
        <w:suppressAutoHyphens/>
        <w:autoSpaceDE w:val="0"/>
        <w:spacing w:after="0" w:line="360" w:lineRule="auto"/>
        <w:ind w:firstLine="709"/>
        <w:jc w:val="both"/>
        <w:rPr>
          <w:rFonts w:ascii="Times New Roman" w:hAnsi="Times New Roman"/>
          <w:sz w:val="28"/>
          <w:szCs w:val="28"/>
          <w:lang w:eastAsia="ar-SA"/>
        </w:rPr>
      </w:pPr>
    </w:p>
    <w:p w:rsidR="00083D30" w:rsidRDefault="00083D30" w:rsidP="005228C1">
      <w:pPr>
        <w:tabs>
          <w:tab w:val="left" w:pos="993"/>
          <w:tab w:val="left" w:pos="1260"/>
        </w:tabs>
        <w:suppressAutoHyphens/>
        <w:autoSpaceDE w:val="0"/>
        <w:spacing w:after="0" w:line="360" w:lineRule="auto"/>
        <w:ind w:firstLine="709"/>
        <w:jc w:val="both"/>
        <w:rPr>
          <w:rFonts w:ascii="Times New Roman" w:hAnsi="Times New Roman"/>
          <w:sz w:val="28"/>
          <w:szCs w:val="28"/>
        </w:rPr>
      </w:pPr>
      <w:r>
        <w:rPr>
          <w:rFonts w:ascii="Times New Roman" w:hAnsi="Times New Roman"/>
          <w:sz w:val="28"/>
          <w:szCs w:val="28"/>
        </w:rPr>
        <w:t>1.2. В разделе 4 «Ресурсное обеспечение Программы» первый абзац изложить в новой редакции:</w:t>
      </w:r>
    </w:p>
    <w:p w:rsidR="00083D30" w:rsidRPr="00413AFD" w:rsidRDefault="00083D30" w:rsidP="00083D30">
      <w:pPr>
        <w:spacing w:after="0" w:line="360" w:lineRule="auto"/>
        <w:ind w:firstLine="709"/>
        <w:jc w:val="both"/>
        <w:rPr>
          <w:rFonts w:ascii="Times New Roman" w:hAnsi="Times New Roman"/>
          <w:sz w:val="28"/>
          <w:szCs w:val="28"/>
        </w:rPr>
      </w:pPr>
      <w:r>
        <w:rPr>
          <w:rFonts w:ascii="Times New Roman" w:hAnsi="Times New Roman"/>
          <w:sz w:val="28"/>
          <w:szCs w:val="28"/>
        </w:rPr>
        <w:t>«</w:t>
      </w:r>
      <w:r w:rsidRPr="00413AFD">
        <w:rPr>
          <w:rFonts w:ascii="Times New Roman" w:hAnsi="Times New Roman"/>
          <w:sz w:val="28"/>
          <w:szCs w:val="28"/>
        </w:rPr>
        <w:t>Общий о</w:t>
      </w:r>
      <w:r>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Pr>
          <w:rFonts w:ascii="Times New Roman" w:hAnsi="Times New Roman"/>
          <w:sz w:val="28"/>
          <w:szCs w:val="28"/>
        </w:rPr>
        <w:t>19960,92</w:t>
      </w:r>
      <w:r w:rsidRPr="00413AFD">
        <w:rPr>
          <w:rFonts w:ascii="Times New Roman" w:hAnsi="Times New Roman"/>
          <w:sz w:val="28"/>
          <w:szCs w:val="28"/>
        </w:rPr>
        <w:t xml:space="preserve"> тыс. рублей, </w:t>
      </w:r>
    </w:p>
    <w:p w:rsidR="00083D30" w:rsidRPr="00413AFD" w:rsidRDefault="00083D30" w:rsidP="00083D30">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Pr>
          <w:rFonts w:ascii="Times New Roman" w:hAnsi="Times New Roman"/>
          <w:sz w:val="28"/>
          <w:szCs w:val="28"/>
        </w:rPr>
        <w:t>19202,8</w:t>
      </w:r>
      <w:r w:rsidRPr="00413AFD">
        <w:rPr>
          <w:rFonts w:ascii="Times New Roman" w:hAnsi="Times New Roman"/>
          <w:sz w:val="28"/>
          <w:szCs w:val="28"/>
        </w:rPr>
        <w:t xml:space="preserve"> тыс. рублей; </w:t>
      </w:r>
    </w:p>
    <w:p w:rsidR="00083D30" w:rsidRPr="00413AFD" w:rsidRDefault="00083D30" w:rsidP="00083D30">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Pr>
          <w:rFonts w:ascii="Times New Roman" w:hAnsi="Times New Roman"/>
          <w:sz w:val="28"/>
          <w:szCs w:val="28"/>
        </w:rPr>
        <w:t>758,12</w:t>
      </w:r>
      <w:r w:rsidRPr="00413AFD">
        <w:rPr>
          <w:rFonts w:ascii="Times New Roman" w:hAnsi="Times New Roman"/>
          <w:sz w:val="28"/>
          <w:szCs w:val="28"/>
        </w:rPr>
        <w:t xml:space="preserve"> тыс. рублей; </w:t>
      </w:r>
    </w:p>
    <w:p w:rsidR="00083D30" w:rsidRDefault="00083D30" w:rsidP="00083D30">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r>
        <w:rPr>
          <w:rFonts w:ascii="Times New Roman" w:hAnsi="Times New Roman"/>
          <w:sz w:val="28"/>
          <w:szCs w:val="28"/>
        </w:rPr>
        <w:t>».</w:t>
      </w:r>
    </w:p>
    <w:p w:rsidR="00066E9D" w:rsidRDefault="00886951" w:rsidP="00886951">
      <w:pPr>
        <w:spacing w:after="0" w:line="360" w:lineRule="auto"/>
        <w:ind w:firstLine="709"/>
        <w:jc w:val="both"/>
        <w:rPr>
          <w:rFonts w:ascii="Times New Roman" w:hAnsi="Times New Roman"/>
          <w:sz w:val="28"/>
          <w:szCs w:val="28"/>
        </w:rPr>
      </w:pPr>
      <w:r>
        <w:rPr>
          <w:rFonts w:ascii="Times New Roman" w:hAnsi="Times New Roman"/>
          <w:sz w:val="28"/>
          <w:szCs w:val="28"/>
        </w:rPr>
        <w:t>1.3. Приложение № 11 муниципальной программы «Формирование комфортной городской среды» Малмыжского городского поселения на 2018-2024 годы» изложить в новой редакции, прилагается.</w:t>
      </w:r>
    </w:p>
    <w:p w:rsidR="00094CD7" w:rsidRDefault="00094CD7" w:rsidP="00094CD7">
      <w:pPr>
        <w:tabs>
          <w:tab w:val="left" w:pos="993"/>
          <w:tab w:val="left" w:pos="1260"/>
        </w:tabs>
        <w:suppressAutoHyphens/>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1.4. </w:t>
      </w:r>
      <w:r>
        <w:rPr>
          <w:rFonts w:ascii="Times New Roman" w:hAnsi="Times New Roman"/>
          <w:sz w:val="28"/>
          <w:szCs w:val="28"/>
          <w:lang w:eastAsia="ar-SA"/>
        </w:rPr>
        <w:t>В разделе 2 «</w:t>
      </w:r>
      <w:r w:rsidRPr="00DB5C22">
        <w:rPr>
          <w:rFonts w:ascii="Times New Roman" w:hAnsi="Times New Roman"/>
          <w:sz w:val="28"/>
          <w:szCs w:val="28"/>
          <w:lang w:eastAsia="ru-RU"/>
        </w:rPr>
        <w:t>П</w:t>
      </w:r>
      <w:r w:rsidRPr="00DB5C22">
        <w:rPr>
          <w:rFonts w:ascii="Times New Roman" w:hAnsi="Times New Roman"/>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r>
        <w:rPr>
          <w:rFonts w:ascii="Times New Roman" w:hAnsi="Times New Roman"/>
          <w:sz w:val="28"/>
          <w:szCs w:val="28"/>
        </w:rPr>
        <w:t>» абзац «</w:t>
      </w:r>
      <w:r w:rsidRPr="002F244F">
        <w:rPr>
          <w:rFonts w:ascii="Times New Roman" w:hAnsi="Times New Roman"/>
          <w:sz w:val="28"/>
          <w:szCs w:val="28"/>
        </w:rPr>
        <w:t>Реализация настоящей программы должна обеспечить следующие конечные результаты:</w:t>
      </w:r>
      <w:r>
        <w:rPr>
          <w:rFonts w:ascii="Times New Roman" w:hAnsi="Times New Roman"/>
          <w:sz w:val="28"/>
          <w:szCs w:val="28"/>
        </w:rPr>
        <w:t>», изложить в новой редакции:</w:t>
      </w:r>
    </w:p>
    <w:p w:rsidR="00094CD7" w:rsidRDefault="00094CD7" w:rsidP="00094CD7">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p w:rsidR="00094CD7" w:rsidRPr="002F244F" w:rsidRDefault="00094CD7" w:rsidP="00094CD7">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094CD7" w:rsidRPr="000F7A08" w:rsidTr="00C02B2C">
        <w:trPr>
          <w:trHeight w:val="405"/>
          <w:jc w:val="center"/>
        </w:trPr>
        <w:tc>
          <w:tcPr>
            <w:tcW w:w="729" w:type="dxa"/>
            <w:vMerge w:val="restart"/>
          </w:tcPr>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lastRenderedPageBreak/>
              <w:t>№</w:t>
            </w:r>
          </w:p>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094CD7" w:rsidRPr="00C10EC3" w:rsidRDefault="00094CD7" w:rsidP="00C02B2C">
            <w:pPr>
              <w:spacing w:after="0" w:line="240" w:lineRule="auto"/>
              <w:ind w:right="141"/>
              <w:jc w:val="center"/>
              <w:rPr>
                <w:rFonts w:ascii="Times New Roman" w:hAnsi="Times New Roman"/>
                <w:b/>
              </w:rPr>
            </w:pPr>
            <w:r>
              <w:rPr>
                <w:rFonts w:ascii="Times New Roman" w:hAnsi="Times New Roman"/>
                <w:b/>
              </w:rPr>
              <w:t>Всего 2018-2024</w:t>
            </w:r>
          </w:p>
        </w:tc>
        <w:tc>
          <w:tcPr>
            <w:tcW w:w="5972" w:type="dxa"/>
            <w:gridSpan w:val="7"/>
          </w:tcPr>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094CD7" w:rsidRPr="000F7A08" w:rsidTr="00C02B2C">
        <w:trPr>
          <w:trHeight w:val="660"/>
          <w:jc w:val="center"/>
        </w:trPr>
        <w:tc>
          <w:tcPr>
            <w:tcW w:w="729" w:type="dxa"/>
            <w:vMerge/>
          </w:tcPr>
          <w:p w:rsidR="00094CD7" w:rsidRPr="000F7A08" w:rsidRDefault="00094CD7" w:rsidP="00C02B2C">
            <w:pPr>
              <w:spacing w:after="0" w:line="240" w:lineRule="auto"/>
              <w:ind w:right="141"/>
              <w:jc w:val="center"/>
              <w:rPr>
                <w:rFonts w:ascii="Times New Roman" w:hAnsi="Times New Roman"/>
                <w:b/>
                <w:sz w:val="26"/>
                <w:szCs w:val="26"/>
              </w:rPr>
            </w:pPr>
          </w:p>
        </w:tc>
        <w:tc>
          <w:tcPr>
            <w:tcW w:w="2352" w:type="dxa"/>
            <w:vMerge/>
          </w:tcPr>
          <w:p w:rsidR="00094CD7" w:rsidRPr="000F7A08" w:rsidRDefault="00094CD7" w:rsidP="00C02B2C">
            <w:pPr>
              <w:spacing w:after="0" w:line="240" w:lineRule="auto"/>
              <w:ind w:right="141"/>
              <w:jc w:val="both"/>
              <w:rPr>
                <w:rFonts w:ascii="Times New Roman" w:hAnsi="Times New Roman"/>
                <w:b/>
                <w:sz w:val="26"/>
                <w:szCs w:val="26"/>
              </w:rPr>
            </w:pPr>
          </w:p>
        </w:tc>
        <w:tc>
          <w:tcPr>
            <w:tcW w:w="996" w:type="dxa"/>
            <w:vMerge/>
          </w:tcPr>
          <w:p w:rsidR="00094CD7" w:rsidRPr="000F7A08" w:rsidRDefault="00094CD7" w:rsidP="00C02B2C">
            <w:pPr>
              <w:spacing w:after="0" w:line="240" w:lineRule="auto"/>
              <w:ind w:right="141"/>
              <w:jc w:val="both"/>
              <w:rPr>
                <w:rFonts w:ascii="Times New Roman" w:hAnsi="Times New Roman"/>
                <w:b/>
                <w:sz w:val="26"/>
                <w:szCs w:val="26"/>
              </w:rPr>
            </w:pPr>
          </w:p>
        </w:tc>
        <w:tc>
          <w:tcPr>
            <w:tcW w:w="851"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094CD7" w:rsidRPr="00C10EC3" w:rsidRDefault="00094CD7" w:rsidP="00C02B2C">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2024</w:t>
            </w:r>
          </w:p>
        </w:tc>
      </w:tr>
      <w:tr w:rsidR="00094CD7" w:rsidRPr="000F7A08" w:rsidTr="00C02B2C">
        <w:trPr>
          <w:jc w:val="center"/>
        </w:trPr>
        <w:tc>
          <w:tcPr>
            <w:tcW w:w="729" w:type="dxa"/>
          </w:tcPr>
          <w:p w:rsidR="00094CD7" w:rsidRPr="000F7A08" w:rsidRDefault="00094CD7" w:rsidP="00C02B2C">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094CD7" w:rsidRPr="000F7A08" w:rsidRDefault="00094CD7" w:rsidP="00C02B2C">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094CD7" w:rsidRPr="000F7A08" w:rsidRDefault="00094CD7" w:rsidP="00C02B2C">
            <w:pPr>
              <w:spacing w:after="0" w:line="240" w:lineRule="auto"/>
              <w:ind w:right="141"/>
              <w:jc w:val="center"/>
              <w:rPr>
                <w:rFonts w:ascii="Times New Roman" w:hAnsi="Times New Roman"/>
                <w:sz w:val="26"/>
                <w:szCs w:val="26"/>
              </w:rPr>
            </w:pPr>
          </w:p>
          <w:p w:rsidR="00094CD7" w:rsidRPr="000F7A08" w:rsidRDefault="00094CD7" w:rsidP="00C02B2C">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094CD7" w:rsidRPr="000F7A08" w:rsidTr="00C02B2C">
        <w:trPr>
          <w:jc w:val="center"/>
        </w:trPr>
        <w:tc>
          <w:tcPr>
            <w:tcW w:w="729" w:type="dxa"/>
          </w:tcPr>
          <w:p w:rsidR="00094CD7" w:rsidRPr="000F7A08" w:rsidRDefault="00094CD7" w:rsidP="00C02B2C">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094CD7" w:rsidRPr="000F7A08" w:rsidRDefault="00094CD7" w:rsidP="00C02B2C">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094CD7" w:rsidRPr="000F7A08" w:rsidRDefault="00094CD7" w:rsidP="00C02B2C">
            <w:pPr>
              <w:spacing w:after="0" w:line="240" w:lineRule="auto"/>
              <w:ind w:right="141"/>
              <w:jc w:val="center"/>
              <w:rPr>
                <w:rFonts w:ascii="Times New Roman" w:hAnsi="Times New Roman"/>
                <w:sz w:val="26"/>
                <w:szCs w:val="26"/>
              </w:rPr>
            </w:pPr>
          </w:p>
          <w:p w:rsidR="00094CD7" w:rsidRPr="000F7A08" w:rsidRDefault="00094CD7" w:rsidP="00C02B2C">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2</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16</w:t>
            </w:r>
          </w:p>
        </w:tc>
      </w:tr>
    </w:tbl>
    <w:p w:rsidR="00094CD7" w:rsidRPr="00DB5C22" w:rsidRDefault="00094CD7" w:rsidP="00886951">
      <w:pPr>
        <w:spacing w:after="0" w:line="360" w:lineRule="auto"/>
        <w:ind w:firstLine="709"/>
        <w:jc w:val="both"/>
        <w:rPr>
          <w:rFonts w:ascii="Times New Roman" w:hAnsi="Times New Roman"/>
          <w:sz w:val="28"/>
          <w:szCs w:val="28"/>
        </w:rPr>
      </w:pP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Pr="00E26D62" w:rsidRDefault="005228C1" w:rsidP="00E65480">
      <w:pPr>
        <w:pStyle w:val="21"/>
        <w:jc w:val="both"/>
        <w:rPr>
          <w:b w:val="0"/>
          <w:szCs w:val="28"/>
        </w:rPr>
      </w:pPr>
      <w:r>
        <w:rPr>
          <w:b w:val="0"/>
          <w:szCs w:val="28"/>
        </w:rPr>
        <w:t>И. о. главы</w:t>
      </w:r>
      <w:r w:rsidR="006F5479" w:rsidRPr="00E26D62">
        <w:rPr>
          <w:b w:val="0"/>
          <w:szCs w:val="28"/>
        </w:rPr>
        <w:t xml:space="preserve"> </w:t>
      </w:r>
      <w:r w:rsidR="006F5479">
        <w:rPr>
          <w:b w:val="0"/>
          <w:szCs w:val="28"/>
        </w:rPr>
        <w:t>Малмыжского</w:t>
      </w:r>
      <w:r w:rsidR="006F5479" w:rsidRPr="00E26D62">
        <w:rPr>
          <w:b w:val="0"/>
          <w:szCs w:val="28"/>
        </w:rPr>
        <w:t xml:space="preserve"> </w:t>
      </w:r>
    </w:p>
    <w:p w:rsidR="00886951" w:rsidRDefault="00094CD7" w:rsidP="00886951">
      <w:pPr>
        <w:pStyle w:val="21"/>
        <w:jc w:val="both"/>
        <w:rPr>
          <w:b w:val="0"/>
          <w:szCs w:val="28"/>
        </w:rPr>
        <w:sectPr w:rsidR="00886951" w:rsidSect="00354588">
          <w:pgSz w:w="11905" w:h="16838"/>
          <w:pgMar w:top="567" w:right="985" w:bottom="540" w:left="1540" w:header="709" w:footer="709" w:gutter="0"/>
          <w:pgNumType w:start="1"/>
          <w:cols w:space="708"/>
          <w:titlePg/>
          <w:docGrid w:linePitch="381"/>
        </w:sectPr>
      </w:pPr>
      <w:r>
        <w:rPr>
          <w:b w:val="0"/>
          <w:szCs w:val="28"/>
        </w:rPr>
        <w:t>городского</w:t>
      </w:r>
      <w:r w:rsidR="00C70A6A">
        <w:rPr>
          <w:b w:val="0"/>
          <w:szCs w:val="28"/>
        </w:rPr>
        <w:t xml:space="preserve"> </w:t>
      </w:r>
      <w:r w:rsidR="006F5479" w:rsidRPr="00E26D62">
        <w:rPr>
          <w:b w:val="0"/>
          <w:szCs w:val="28"/>
        </w:rPr>
        <w:t>посел</w:t>
      </w:r>
      <w:r>
        <w:rPr>
          <w:b w:val="0"/>
          <w:szCs w:val="28"/>
        </w:rPr>
        <w:t xml:space="preserve">ения </w:t>
      </w:r>
      <w:r w:rsidR="006F5479">
        <w:rPr>
          <w:b w:val="0"/>
          <w:szCs w:val="28"/>
        </w:rPr>
        <w:t>О.</w:t>
      </w:r>
      <w:r>
        <w:rPr>
          <w:b w:val="0"/>
          <w:szCs w:val="28"/>
        </w:rPr>
        <w:t>Ю.</w:t>
      </w:r>
      <w:r w:rsidR="005228C1">
        <w:rPr>
          <w:b w:val="0"/>
          <w:szCs w:val="28"/>
        </w:rPr>
        <w:t>Камалова</w:t>
      </w:r>
    </w:p>
    <w:p w:rsidR="00886951" w:rsidRDefault="00886951" w:rsidP="00886951">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11</w:t>
      </w:r>
    </w:p>
    <w:p w:rsidR="00886951" w:rsidRDefault="00886951" w:rsidP="00886951">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886951" w:rsidRDefault="00886951" w:rsidP="00886951">
      <w:pPr>
        <w:spacing w:after="0" w:line="240" w:lineRule="auto"/>
        <w:jc w:val="center"/>
        <w:rPr>
          <w:rFonts w:ascii="Times New Roman" w:hAnsi="Times New Roman"/>
          <w:b/>
          <w:sz w:val="28"/>
          <w:szCs w:val="28"/>
        </w:rPr>
      </w:pPr>
    </w:p>
    <w:p w:rsidR="00886951" w:rsidRPr="002F244F" w:rsidRDefault="00886951" w:rsidP="0088695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886951" w:rsidRPr="002F244F" w:rsidRDefault="00886951" w:rsidP="0088695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1729"/>
        <w:gridCol w:w="1842"/>
        <w:gridCol w:w="851"/>
        <w:gridCol w:w="850"/>
        <w:gridCol w:w="851"/>
        <w:gridCol w:w="709"/>
        <w:gridCol w:w="708"/>
        <w:gridCol w:w="709"/>
        <w:gridCol w:w="709"/>
        <w:gridCol w:w="709"/>
        <w:gridCol w:w="1984"/>
        <w:gridCol w:w="2054"/>
      </w:tblGrid>
      <w:tr w:rsidR="00886951" w:rsidRPr="000F7A08" w:rsidTr="00C02B2C">
        <w:trPr>
          <w:jc w:val="center"/>
        </w:trPr>
        <w:tc>
          <w:tcPr>
            <w:tcW w:w="2341" w:type="dxa"/>
            <w:gridSpan w:val="3"/>
            <w:vMerge w:val="restart"/>
            <w:vAlign w:val="center"/>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vMerge w:val="restart"/>
            <w:vAlign w:val="center"/>
          </w:tcPr>
          <w:p w:rsidR="00886951" w:rsidRPr="000F7A08" w:rsidRDefault="00886951" w:rsidP="00C02B2C">
            <w:pPr>
              <w:spacing w:after="0" w:line="240" w:lineRule="auto"/>
              <w:jc w:val="center"/>
              <w:rPr>
                <w:rFonts w:ascii="Times New Roman" w:hAnsi="Times New Roman"/>
              </w:rPr>
            </w:pPr>
          </w:p>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886951" w:rsidRPr="000F7A08" w:rsidRDefault="00886951" w:rsidP="00C02B2C">
            <w:pPr>
              <w:spacing w:after="0" w:line="240" w:lineRule="auto"/>
              <w:jc w:val="center"/>
              <w:rPr>
                <w:rFonts w:ascii="Times New Roman" w:hAnsi="Times New Roman"/>
              </w:rPr>
            </w:pPr>
          </w:p>
        </w:tc>
        <w:tc>
          <w:tcPr>
            <w:tcW w:w="1842" w:type="dxa"/>
            <w:vMerge w:val="restart"/>
            <w:vAlign w:val="center"/>
          </w:tcPr>
          <w:p w:rsidR="00886951" w:rsidRPr="000F7A08" w:rsidRDefault="00886951" w:rsidP="00C02B2C">
            <w:pPr>
              <w:spacing w:after="0" w:line="240" w:lineRule="auto"/>
              <w:rPr>
                <w:rFonts w:ascii="Times New Roman" w:hAnsi="Times New Roman"/>
              </w:rPr>
            </w:pPr>
          </w:p>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Источники финансирования</w:t>
            </w:r>
          </w:p>
          <w:p w:rsidR="00886951" w:rsidRPr="000F7A08" w:rsidRDefault="00886951" w:rsidP="00C02B2C">
            <w:pPr>
              <w:spacing w:after="0" w:line="240" w:lineRule="auto"/>
              <w:jc w:val="center"/>
              <w:rPr>
                <w:rFonts w:ascii="Times New Roman" w:hAnsi="Times New Roman"/>
              </w:rPr>
            </w:pPr>
          </w:p>
        </w:tc>
        <w:tc>
          <w:tcPr>
            <w:tcW w:w="6096" w:type="dxa"/>
            <w:gridSpan w:val="8"/>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886951" w:rsidRPr="000F7A08" w:rsidTr="00C02B2C">
        <w:trPr>
          <w:jc w:val="center"/>
        </w:trPr>
        <w:tc>
          <w:tcPr>
            <w:tcW w:w="2341" w:type="dxa"/>
            <w:gridSpan w:val="3"/>
            <w:vMerge/>
          </w:tcPr>
          <w:p w:rsidR="00886951" w:rsidRPr="000F7A08" w:rsidRDefault="00886951" w:rsidP="00C02B2C">
            <w:pPr>
              <w:spacing w:after="0" w:line="240" w:lineRule="auto"/>
              <w:jc w:val="both"/>
              <w:rPr>
                <w:rFonts w:ascii="Times New Roman" w:hAnsi="Times New Roman"/>
              </w:rPr>
            </w:pPr>
          </w:p>
        </w:tc>
        <w:tc>
          <w:tcPr>
            <w:tcW w:w="1729" w:type="dxa"/>
            <w:vMerge/>
          </w:tcPr>
          <w:p w:rsidR="00886951" w:rsidRPr="000F7A08" w:rsidRDefault="00886951" w:rsidP="00C02B2C">
            <w:pPr>
              <w:spacing w:after="0" w:line="240" w:lineRule="auto"/>
              <w:jc w:val="both"/>
              <w:rPr>
                <w:rFonts w:ascii="Times New Roman" w:hAnsi="Times New Roman"/>
              </w:rPr>
            </w:pPr>
          </w:p>
        </w:tc>
        <w:tc>
          <w:tcPr>
            <w:tcW w:w="1842" w:type="dxa"/>
            <w:vMerge/>
          </w:tcPr>
          <w:p w:rsidR="00886951" w:rsidRPr="000F7A08" w:rsidRDefault="00886951" w:rsidP="00C02B2C">
            <w:pPr>
              <w:spacing w:after="0" w:line="240" w:lineRule="auto"/>
              <w:jc w:val="both"/>
              <w:rPr>
                <w:rFonts w:ascii="Times New Roman" w:hAnsi="Times New Roman"/>
              </w:rPr>
            </w:pPr>
          </w:p>
        </w:tc>
        <w:tc>
          <w:tcPr>
            <w:tcW w:w="851" w:type="dxa"/>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всего</w:t>
            </w:r>
          </w:p>
          <w:p w:rsidR="00886951" w:rsidRPr="000F7A08" w:rsidRDefault="00886951" w:rsidP="00C02B2C">
            <w:pPr>
              <w:spacing w:after="0" w:line="240" w:lineRule="auto"/>
              <w:jc w:val="both"/>
              <w:rPr>
                <w:rFonts w:ascii="Times New Roman" w:hAnsi="Times New Roman"/>
              </w:rPr>
            </w:pPr>
          </w:p>
        </w:tc>
        <w:tc>
          <w:tcPr>
            <w:tcW w:w="850" w:type="dxa"/>
          </w:tcPr>
          <w:p w:rsidR="00886951" w:rsidRDefault="00886951" w:rsidP="00C02B2C">
            <w:pPr>
              <w:spacing w:after="0" w:line="240" w:lineRule="auto"/>
              <w:jc w:val="center"/>
              <w:rPr>
                <w:rFonts w:ascii="Times New Roman" w:hAnsi="Times New Roman"/>
              </w:rPr>
            </w:pPr>
            <w:r w:rsidRPr="000F7A08">
              <w:rPr>
                <w:rFonts w:ascii="Times New Roman" w:hAnsi="Times New Roman"/>
              </w:rPr>
              <w:t>2018</w:t>
            </w:r>
          </w:p>
          <w:p w:rsidR="00886951" w:rsidRPr="000F7A08" w:rsidRDefault="00886951" w:rsidP="00C02B2C">
            <w:pPr>
              <w:spacing w:after="0" w:line="240" w:lineRule="auto"/>
              <w:jc w:val="center"/>
              <w:rPr>
                <w:rFonts w:ascii="Times New Roman" w:hAnsi="Times New Roman"/>
              </w:rPr>
            </w:pPr>
            <w:r>
              <w:rPr>
                <w:rFonts w:ascii="Times New Roman" w:hAnsi="Times New Roman"/>
              </w:rPr>
              <w:t>(факт)</w:t>
            </w:r>
          </w:p>
        </w:tc>
        <w:tc>
          <w:tcPr>
            <w:tcW w:w="851" w:type="dxa"/>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2019</w:t>
            </w:r>
          </w:p>
        </w:tc>
        <w:tc>
          <w:tcPr>
            <w:tcW w:w="709" w:type="dxa"/>
          </w:tcPr>
          <w:p w:rsidR="00886951" w:rsidRDefault="00886951" w:rsidP="00C02B2C">
            <w:pPr>
              <w:spacing w:after="0" w:line="240" w:lineRule="auto"/>
              <w:jc w:val="center"/>
              <w:rPr>
                <w:rFonts w:ascii="Times New Roman" w:hAnsi="Times New Roman"/>
              </w:rPr>
            </w:pPr>
            <w:r w:rsidRPr="000F7A08">
              <w:rPr>
                <w:rFonts w:ascii="Times New Roman" w:hAnsi="Times New Roman"/>
              </w:rPr>
              <w:t>2020</w:t>
            </w:r>
          </w:p>
          <w:p w:rsidR="00886951" w:rsidRPr="000F7A08" w:rsidRDefault="00886951" w:rsidP="00C02B2C">
            <w:pPr>
              <w:spacing w:after="0" w:line="240" w:lineRule="auto"/>
              <w:jc w:val="center"/>
              <w:rPr>
                <w:rFonts w:ascii="Times New Roman" w:hAnsi="Times New Roman"/>
              </w:rPr>
            </w:pPr>
            <w:r>
              <w:rPr>
                <w:rFonts w:ascii="Times New Roman" w:hAnsi="Times New Roman"/>
              </w:rPr>
              <w:t>(план)</w:t>
            </w:r>
          </w:p>
        </w:tc>
        <w:tc>
          <w:tcPr>
            <w:tcW w:w="708" w:type="dxa"/>
          </w:tcPr>
          <w:p w:rsidR="00886951" w:rsidRDefault="00886951" w:rsidP="00C02B2C">
            <w:pPr>
              <w:spacing w:after="0" w:line="240" w:lineRule="auto"/>
              <w:jc w:val="center"/>
              <w:rPr>
                <w:rFonts w:ascii="Times New Roman" w:hAnsi="Times New Roman"/>
              </w:rPr>
            </w:pPr>
            <w:r w:rsidRPr="000F7A08">
              <w:rPr>
                <w:rFonts w:ascii="Times New Roman" w:hAnsi="Times New Roman"/>
              </w:rPr>
              <w:t>2021</w:t>
            </w:r>
          </w:p>
          <w:p w:rsidR="00886951" w:rsidRPr="000F7A08" w:rsidRDefault="00886951" w:rsidP="00C02B2C">
            <w:pPr>
              <w:spacing w:after="0" w:line="240" w:lineRule="auto"/>
              <w:jc w:val="center"/>
              <w:rPr>
                <w:rFonts w:ascii="Times New Roman" w:hAnsi="Times New Roman"/>
              </w:rPr>
            </w:pPr>
            <w:r>
              <w:rPr>
                <w:rFonts w:ascii="Times New Roman" w:hAnsi="Times New Roman"/>
              </w:rPr>
              <w:t>(план)</w:t>
            </w:r>
          </w:p>
        </w:tc>
        <w:tc>
          <w:tcPr>
            <w:tcW w:w="709" w:type="dxa"/>
          </w:tcPr>
          <w:p w:rsidR="00886951" w:rsidRDefault="00886951" w:rsidP="00C02B2C">
            <w:pPr>
              <w:spacing w:after="0" w:line="240" w:lineRule="auto"/>
              <w:jc w:val="center"/>
              <w:rPr>
                <w:rFonts w:ascii="Times New Roman" w:hAnsi="Times New Roman"/>
              </w:rPr>
            </w:pPr>
            <w:r>
              <w:rPr>
                <w:rFonts w:ascii="Times New Roman" w:hAnsi="Times New Roman"/>
              </w:rPr>
              <w:t>2022</w:t>
            </w:r>
          </w:p>
          <w:p w:rsidR="00886951" w:rsidRPr="000F7A08" w:rsidRDefault="00886951" w:rsidP="00C02B2C">
            <w:pPr>
              <w:spacing w:after="0" w:line="240" w:lineRule="auto"/>
              <w:jc w:val="center"/>
              <w:rPr>
                <w:rFonts w:ascii="Times New Roman" w:hAnsi="Times New Roman"/>
              </w:rPr>
            </w:pPr>
            <w:r>
              <w:rPr>
                <w:rFonts w:ascii="Times New Roman" w:hAnsi="Times New Roman"/>
              </w:rPr>
              <w:t>(план)</w:t>
            </w:r>
          </w:p>
        </w:tc>
        <w:tc>
          <w:tcPr>
            <w:tcW w:w="709" w:type="dxa"/>
          </w:tcPr>
          <w:p w:rsidR="00886951" w:rsidRPr="000F7A08" w:rsidRDefault="00886951" w:rsidP="00C02B2C">
            <w:pPr>
              <w:spacing w:after="0" w:line="240" w:lineRule="auto"/>
              <w:jc w:val="center"/>
              <w:rPr>
                <w:rFonts w:ascii="Times New Roman" w:hAnsi="Times New Roman"/>
              </w:rPr>
            </w:pPr>
            <w:r>
              <w:rPr>
                <w:rFonts w:ascii="Times New Roman" w:hAnsi="Times New Roman"/>
              </w:rPr>
              <w:t>2023</w:t>
            </w:r>
          </w:p>
        </w:tc>
        <w:tc>
          <w:tcPr>
            <w:tcW w:w="709" w:type="dxa"/>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886951" w:rsidRPr="000F7A08" w:rsidRDefault="00886951" w:rsidP="00C02B2C">
            <w:pPr>
              <w:spacing w:after="0" w:line="240" w:lineRule="auto"/>
              <w:jc w:val="both"/>
              <w:rPr>
                <w:rFonts w:ascii="Times New Roman" w:hAnsi="Times New Roman"/>
              </w:rPr>
            </w:pPr>
          </w:p>
        </w:tc>
        <w:tc>
          <w:tcPr>
            <w:tcW w:w="2054" w:type="dxa"/>
            <w:vMerge/>
          </w:tcPr>
          <w:p w:rsidR="00886951" w:rsidRPr="000F7A08" w:rsidRDefault="00886951" w:rsidP="00C02B2C">
            <w:pPr>
              <w:spacing w:after="0" w:line="240" w:lineRule="auto"/>
              <w:jc w:val="both"/>
              <w:rPr>
                <w:rFonts w:ascii="Times New Roman" w:hAnsi="Times New Roman"/>
              </w:rPr>
            </w:pPr>
          </w:p>
        </w:tc>
      </w:tr>
      <w:tr w:rsidR="00886951" w:rsidRPr="000F7A08" w:rsidTr="00C02B2C">
        <w:trPr>
          <w:trHeight w:val="543"/>
          <w:jc w:val="center"/>
        </w:trPr>
        <w:tc>
          <w:tcPr>
            <w:tcW w:w="709" w:type="dxa"/>
          </w:tcPr>
          <w:p w:rsidR="00886951" w:rsidRPr="000F7A08" w:rsidRDefault="00886951" w:rsidP="00C02B2C">
            <w:pPr>
              <w:spacing w:after="0" w:line="240" w:lineRule="auto"/>
              <w:jc w:val="both"/>
              <w:rPr>
                <w:rFonts w:ascii="Times New Roman" w:hAnsi="Times New Roman"/>
              </w:rPr>
            </w:pPr>
          </w:p>
        </w:tc>
        <w:tc>
          <w:tcPr>
            <w:tcW w:w="709" w:type="dxa"/>
          </w:tcPr>
          <w:p w:rsidR="00886951" w:rsidRPr="000F7A08" w:rsidRDefault="00886951" w:rsidP="00C02B2C">
            <w:pPr>
              <w:spacing w:after="0" w:line="240" w:lineRule="auto"/>
              <w:jc w:val="both"/>
              <w:rPr>
                <w:rFonts w:ascii="Times New Roman" w:hAnsi="Times New Roman"/>
              </w:rPr>
            </w:pPr>
          </w:p>
        </w:tc>
        <w:tc>
          <w:tcPr>
            <w:tcW w:w="14628" w:type="dxa"/>
            <w:gridSpan w:val="13"/>
          </w:tcPr>
          <w:p w:rsidR="00886951" w:rsidRPr="000F7A08" w:rsidRDefault="00886951" w:rsidP="00C02B2C">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886951" w:rsidRPr="000F7A08" w:rsidTr="00C02B2C">
        <w:trPr>
          <w:trHeight w:val="267"/>
          <w:jc w:val="center"/>
        </w:trPr>
        <w:tc>
          <w:tcPr>
            <w:tcW w:w="709" w:type="dxa"/>
          </w:tcPr>
          <w:p w:rsidR="00886951" w:rsidRPr="000F7A08" w:rsidRDefault="00886951" w:rsidP="00C02B2C">
            <w:pPr>
              <w:spacing w:after="0" w:line="240" w:lineRule="auto"/>
              <w:jc w:val="both"/>
              <w:rPr>
                <w:rFonts w:ascii="Times New Roman" w:hAnsi="Times New Roman"/>
              </w:rPr>
            </w:pPr>
          </w:p>
        </w:tc>
        <w:tc>
          <w:tcPr>
            <w:tcW w:w="709" w:type="dxa"/>
          </w:tcPr>
          <w:p w:rsidR="00886951" w:rsidRPr="000F7A08" w:rsidRDefault="00886951" w:rsidP="00C02B2C">
            <w:pPr>
              <w:spacing w:after="0" w:line="240" w:lineRule="auto"/>
              <w:jc w:val="both"/>
              <w:rPr>
                <w:rFonts w:ascii="Times New Roman" w:hAnsi="Times New Roman"/>
              </w:rPr>
            </w:pPr>
          </w:p>
        </w:tc>
        <w:tc>
          <w:tcPr>
            <w:tcW w:w="14628" w:type="dxa"/>
            <w:gridSpan w:val="13"/>
          </w:tcPr>
          <w:p w:rsidR="00886951" w:rsidRPr="000F7A08" w:rsidRDefault="00886951" w:rsidP="00C02B2C">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094CD7" w:rsidRPr="000F7A08" w:rsidTr="00C02B2C">
        <w:trPr>
          <w:trHeight w:val="345"/>
          <w:jc w:val="center"/>
        </w:trPr>
        <w:tc>
          <w:tcPr>
            <w:tcW w:w="2341" w:type="dxa"/>
            <w:gridSpan w:val="3"/>
            <w:vMerge w:val="restart"/>
          </w:tcPr>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vMerge w:val="restart"/>
          </w:tcPr>
          <w:p w:rsidR="00094CD7" w:rsidRPr="000F7A08" w:rsidRDefault="00094CD7" w:rsidP="00C02B2C">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2281,21</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781,21</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500,0</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500,0</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500,0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094CD7" w:rsidRPr="000F7A08" w:rsidRDefault="00094CD7" w:rsidP="00C02B2C">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094CD7" w:rsidRPr="000F7A08" w:rsidRDefault="00094CD7" w:rsidP="00C02B2C">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094CD7" w:rsidRPr="000F7A08" w:rsidRDefault="00094CD7" w:rsidP="00C02B2C">
            <w:pPr>
              <w:tabs>
                <w:tab w:val="left" w:pos="302"/>
              </w:tabs>
              <w:spacing w:after="0" w:line="240" w:lineRule="auto"/>
              <w:rPr>
                <w:rFonts w:ascii="Times New Roman" w:hAnsi="Times New Roman"/>
              </w:rPr>
            </w:pPr>
          </w:p>
          <w:p w:rsidR="00094CD7" w:rsidRPr="000F7A08" w:rsidRDefault="00094CD7" w:rsidP="00C02B2C">
            <w:pPr>
              <w:tabs>
                <w:tab w:val="left" w:pos="302"/>
              </w:tabs>
              <w:spacing w:after="0" w:line="240" w:lineRule="auto"/>
              <w:rPr>
                <w:rFonts w:ascii="Times New Roman" w:hAnsi="Times New Roman"/>
              </w:rPr>
            </w:pPr>
          </w:p>
          <w:p w:rsidR="00094CD7" w:rsidRPr="000F7A08" w:rsidRDefault="00094CD7" w:rsidP="00C02B2C">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609"/>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2258,4</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773,4</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495,0</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495,0</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495,0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537"/>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495"/>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22,81</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7,81</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336"/>
          <w:jc w:val="center"/>
        </w:trPr>
        <w:tc>
          <w:tcPr>
            <w:tcW w:w="709" w:type="dxa"/>
          </w:tcPr>
          <w:p w:rsidR="00094CD7" w:rsidRPr="000F7A08" w:rsidRDefault="00094CD7" w:rsidP="00C02B2C">
            <w:pPr>
              <w:spacing w:after="0" w:line="240" w:lineRule="auto"/>
              <w:rPr>
                <w:rFonts w:ascii="Times New Roman" w:hAnsi="Times New Roman"/>
              </w:rPr>
            </w:pPr>
          </w:p>
        </w:tc>
        <w:tc>
          <w:tcPr>
            <w:tcW w:w="709" w:type="dxa"/>
          </w:tcPr>
          <w:p w:rsidR="00094CD7" w:rsidRPr="000F7A08" w:rsidRDefault="00094CD7" w:rsidP="00C02B2C">
            <w:pPr>
              <w:spacing w:after="0" w:line="240" w:lineRule="auto"/>
              <w:rPr>
                <w:rFonts w:ascii="Times New Roman" w:hAnsi="Times New Roman"/>
              </w:rPr>
            </w:pPr>
          </w:p>
        </w:tc>
        <w:tc>
          <w:tcPr>
            <w:tcW w:w="10590" w:type="dxa"/>
            <w:gridSpan w:val="11"/>
          </w:tcPr>
          <w:p w:rsidR="00094CD7" w:rsidRPr="00886951" w:rsidRDefault="00094CD7" w:rsidP="00C02B2C">
            <w:pPr>
              <w:spacing w:after="0" w:line="240" w:lineRule="auto"/>
              <w:rPr>
                <w:rFonts w:ascii="Times New Roman" w:hAnsi="Times New Roman"/>
              </w:rPr>
            </w:pPr>
            <w:r w:rsidRPr="00886951">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389"/>
          <w:jc w:val="center"/>
        </w:trPr>
        <w:tc>
          <w:tcPr>
            <w:tcW w:w="2341" w:type="dxa"/>
            <w:gridSpan w:val="3"/>
            <w:vMerge w:val="restart"/>
          </w:tcPr>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vMerge w:val="restart"/>
          </w:tcPr>
          <w:p w:rsidR="00094CD7" w:rsidRPr="000F7A08" w:rsidRDefault="00094CD7" w:rsidP="00C02B2C">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всего</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13690,95</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4134,85</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3002,4</w:t>
            </w:r>
          </w:p>
        </w:tc>
        <w:tc>
          <w:tcPr>
            <w:tcW w:w="708"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3147,2</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3406,5</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539"/>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13529,6</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4093,5</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2972,4</w:t>
            </w:r>
          </w:p>
        </w:tc>
        <w:tc>
          <w:tcPr>
            <w:tcW w:w="708"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3107,2</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3356,5</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450"/>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465"/>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161,35</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41,35</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30,0</w:t>
            </w:r>
          </w:p>
        </w:tc>
        <w:tc>
          <w:tcPr>
            <w:tcW w:w="708"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40,0</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50,0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210"/>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p>
        </w:tc>
        <w:tc>
          <w:tcPr>
            <w:tcW w:w="851" w:type="dxa"/>
          </w:tcPr>
          <w:p w:rsidR="00094CD7" w:rsidRPr="000F7A08" w:rsidRDefault="00094CD7" w:rsidP="00C02B2C">
            <w:pPr>
              <w:spacing w:after="0" w:line="240" w:lineRule="auto"/>
              <w:jc w:val="center"/>
              <w:rPr>
                <w:rFonts w:ascii="Times New Roman" w:hAnsi="Times New Roman"/>
                <w:b/>
              </w:rPr>
            </w:pPr>
          </w:p>
        </w:tc>
        <w:tc>
          <w:tcPr>
            <w:tcW w:w="850" w:type="dxa"/>
          </w:tcPr>
          <w:p w:rsidR="00094CD7" w:rsidRPr="000F7A08" w:rsidRDefault="00094CD7" w:rsidP="00C02B2C">
            <w:pPr>
              <w:spacing w:after="0" w:line="240" w:lineRule="auto"/>
              <w:jc w:val="center"/>
              <w:rPr>
                <w:rFonts w:ascii="Times New Roman" w:hAnsi="Times New Roman"/>
                <w:b/>
              </w:rPr>
            </w:pPr>
          </w:p>
        </w:tc>
        <w:tc>
          <w:tcPr>
            <w:tcW w:w="851"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708"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bl>
    <w:p w:rsidR="00886951" w:rsidRDefault="00886951" w:rsidP="00886951">
      <w:pPr>
        <w:pStyle w:val="21"/>
        <w:jc w:val="both"/>
        <w:rPr>
          <w:b w:val="0"/>
          <w:szCs w:val="28"/>
        </w:rPr>
        <w:sectPr w:rsidR="00886951" w:rsidSect="00886951">
          <w:pgSz w:w="16838" w:h="11905" w:orient="landscape"/>
          <w:pgMar w:top="709" w:right="567" w:bottom="985" w:left="540" w:header="709" w:footer="709" w:gutter="0"/>
          <w:pgNumType w:start="1"/>
          <w:cols w:space="708"/>
          <w:titlePg/>
          <w:docGrid w:linePitch="381"/>
        </w:sectPr>
      </w:pPr>
    </w:p>
    <w:p w:rsidR="0004182B" w:rsidRPr="00886951" w:rsidRDefault="0004182B" w:rsidP="00886951">
      <w:pPr>
        <w:pStyle w:val="21"/>
        <w:jc w:val="both"/>
        <w:rPr>
          <w:b w:val="0"/>
          <w:szCs w:val="28"/>
        </w:rPr>
      </w:pPr>
    </w:p>
    <w:p w:rsidR="00886951" w:rsidRDefault="00886951" w:rsidP="00886951">
      <w:pPr>
        <w:spacing w:after="0" w:line="240" w:lineRule="auto"/>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p w:rsidR="00D468E5" w:rsidRDefault="00D468E5" w:rsidP="00A3432B">
            <w:pPr>
              <w:spacing w:after="0" w:line="240" w:lineRule="auto"/>
              <w:ind w:right="141"/>
              <w:rPr>
                <w:rFonts w:ascii="Times New Roman" w:hAnsi="Times New Roman"/>
                <w:sz w:val="28"/>
                <w:szCs w:val="28"/>
              </w:rPr>
            </w:pPr>
            <w:r>
              <w:rPr>
                <w:rFonts w:ascii="Times New Roman" w:hAnsi="Times New Roman"/>
                <w:sz w:val="28"/>
                <w:szCs w:val="28"/>
              </w:rPr>
              <w:t>с изменениями от 18.11.2019 № 245/1</w:t>
            </w:r>
            <w:r w:rsidR="005228C1">
              <w:rPr>
                <w:rFonts w:ascii="Times New Roman" w:hAnsi="Times New Roman"/>
                <w:sz w:val="28"/>
                <w:szCs w:val="28"/>
              </w:rPr>
              <w:t>,</w:t>
            </w:r>
          </w:p>
          <w:p w:rsidR="005228C1" w:rsidRDefault="00C46832"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22.01.2020 </w:t>
            </w:r>
            <w:r w:rsidR="005228C1">
              <w:rPr>
                <w:rFonts w:ascii="Times New Roman" w:hAnsi="Times New Roman"/>
                <w:sz w:val="28"/>
                <w:szCs w:val="28"/>
              </w:rPr>
              <w:t>№</w:t>
            </w:r>
            <w:r>
              <w:rPr>
                <w:rFonts w:ascii="Times New Roman" w:hAnsi="Times New Roman"/>
                <w:sz w:val="28"/>
                <w:szCs w:val="28"/>
              </w:rPr>
              <w:t xml:space="preserve"> 9</w:t>
            </w:r>
          </w:p>
          <w:p w:rsidR="00886951" w:rsidRDefault="00094CD7"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05.02.2020 </w:t>
            </w:r>
            <w:r w:rsidR="00886951">
              <w:rPr>
                <w:rFonts w:ascii="Times New Roman" w:hAnsi="Times New Roman"/>
                <w:sz w:val="28"/>
                <w:szCs w:val="28"/>
              </w:rPr>
              <w:t>№</w:t>
            </w:r>
            <w:r>
              <w:rPr>
                <w:rFonts w:ascii="Times New Roman" w:hAnsi="Times New Roman"/>
                <w:sz w:val="28"/>
                <w:szCs w:val="28"/>
              </w:rPr>
              <w:t xml:space="preserve"> 23</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 xml:space="preserve">«Формирования современной городской среды на территории Малмыжского городского поселения Кировской области на 2018 </w:t>
      </w:r>
      <w:r w:rsidR="00A32888">
        <w:rPr>
          <w:rFonts w:ascii="Times New Roman" w:hAnsi="Times New Roman"/>
          <w:b/>
          <w:sz w:val="28"/>
          <w:szCs w:val="28"/>
          <w:lang w:eastAsia="ru-RU"/>
        </w:rPr>
        <w:t>–</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2018 </w:t>
            </w:r>
            <w:r w:rsidR="00A32888">
              <w:rPr>
                <w:rFonts w:ascii="Times New Roman" w:hAnsi="Times New Roman"/>
                <w:sz w:val="28"/>
                <w:szCs w:val="28"/>
                <w:lang w:eastAsia="ru-RU"/>
              </w:rPr>
              <w:t>–</w:t>
            </w:r>
            <w:r>
              <w:rPr>
                <w:rFonts w:ascii="Times New Roman" w:hAnsi="Times New Roman"/>
                <w:sz w:val="28"/>
                <w:szCs w:val="28"/>
                <w:lang w:eastAsia="ru-RU"/>
              </w:rPr>
              <w:t xml:space="preserve">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 xml:space="preserve">льной программы, составляет </w:t>
            </w:r>
            <w:r w:rsidR="0066386F">
              <w:rPr>
                <w:rFonts w:ascii="Times New Roman" w:hAnsi="Times New Roman"/>
                <w:sz w:val="28"/>
                <w:szCs w:val="28"/>
                <w:lang w:eastAsia="ru-RU"/>
              </w:rPr>
              <w:t>19960,92</w:t>
            </w:r>
            <w:r>
              <w:rPr>
                <w:rFonts w:ascii="Times New Roman" w:hAnsi="Times New Roman"/>
                <w:sz w:val="28"/>
                <w:szCs w:val="28"/>
                <w:lang w:eastAsia="ru-RU"/>
              </w:rPr>
              <w:t>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 xml:space="preserve">«О внесении изменений в постановление администрации Малмыжского городского поселения от 28.01.2016 № 37 « Об </w:t>
      </w:r>
      <w:r w:rsidRPr="002F244F">
        <w:rPr>
          <w:rFonts w:ascii="Times New Roman" w:hAnsi="Times New Roman"/>
          <w:sz w:val="28"/>
          <w:szCs w:val="28"/>
        </w:rPr>
        <w:lastRenderedPageBreak/>
        <w:t>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w:t>
      </w:r>
      <w:r w:rsidR="00A32888">
        <w:rPr>
          <w:rFonts w:ascii="Times New Roman" w:hAnsi="Times New Roman" w:cs="Times New Roman"/>
          <w:sz w:val="28"/>
          <w:szCs w:val="28"/>
        </w:rPr>
        <w:t>–</w:t>
      </w:r>
      <w:r w:rsidRPr="002F244F">
        <w:rPr>
          <w:rFonts w:ascii="Times New Roman" w:hAnsi="Times New Roman" w:cs="Times New Roman"/>
          <w:sz w:val="28"/>
          <w:szCs w:val="28"/>
        </w:rPr>
        <w:t xml:space="preserve">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w:t>
      </w:r>
      <w:r w:rsidRPr="002F244F">
        <w:rPr>
          <w:rFonts w:ascii="Times New Roman" w:hAnsi="Times New Roman"/>
          <w:sz w:val="28"/>
          <w:szCs w:val="28"/>
        </w:rPr>
        <w:lastRenderedPageBreak/>
        <w:t>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 о принятии в безвозмездное пользование с содержанием объектов, </w:t>
      </w:r>
      <w:r w:rsidRPr="002F244F">
        <w:rPr>
          <w:rFonts w:ascii="Times New Roman" w:hAnsi="Times New Roman"/>
          <w:sz w:val="28"/>
          <w:szCs w:val="28"/>
        </w:rPr>
        <w:lastRenderedPageBreak/>
        <w:t>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 xml:space="preserve">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w:t>
      </w:r>
      <w:r w:rsidRPr="006A7D21">
        <w:rPr>
          <w:rFonts w:ascii="Times New Roman" w:hAnsi="Times New Roman"/>
          <w:sz w:val="28"/>
          <w:szCs w:val="28"/>
        </w:rPr>
        <w:lastRenderedPageBreak/>
        <w:t>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DB5C22" w:rsidRDefault="00DB5C22" w:rsidP="00DB5C22">
      <w:pPr>
        <w:spacing w:after="0" w:line="360" w:lineRule="auto"/>
        <w:ind w:left="34"/>
        <w:jc w:val="center"/>
        <w:rPr>
          <w:rFonts w:ascii="Times New Roman" w:hAnsi="Times New Roman"/>
          <w:b/>
          <w:sz w:val="28"/>
          <w:szCs w:val="28"/>
        </w:rPr>
      </w:pPr>
      <w:r w:rsidRPr="00DB5C22">
        <w:rPr>
          <w:rFonts w:ascii="Times New Roman" w:hAnsi="Times New Roman"/>
          <w:b/>
          <w:sz w:val="28"/>
          <w:szCs w:val="28"/>
          <w:lang w:eastAsia="ru-RU"/>
        </w:rPr>
        <w:t xml:space="preserve">2. </w:t>
      </w:r>
      <w:r w:rsidR="006F5479" w:rsidRPr="00DB5C22">
        <w:rPr>
          <w:rFonts w:ascii="Times New Roman" w:hAnsi="Times New Roman"/>
          <w:b/>
          <w:sz w:val="28"/>
          <w:szCs w:val="28"/>
          <w:lang w:eastAsia="ru-RU"/>
        </w:rPr>
        <w:t>П</w:t>
      </w:r>
      <w:r w:rsidR="006F5479" w:rsidRPr="00DB5C22">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 xml:space="preserve">кой среды» на 2018 </w:t>
      </w:r>
      <w:r w:rsidR="00A32888">
        <w:rPr>
          <w:rFonts w:ascii="Times New Roman" w:hAnsi="Times New Roman"/>
          <w:sz w:val="28"/>
          <w:szCs w:val="28"/>
        </w:rPr>
        <w:t>–</w:t>
      </w:r>
      <w:r>
        <w:rPr>
          <w:rFonts w:ascii="Times New Roman" w:hAnsi="Times New Roman"/>
          <w:sz w:val="28"/>
          <w:szCs w:val="28"/>
        </w:rPr>
        <w:t xml:space="preserve">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w:t>
            </w:r>
            <w:r w:rsidR="005228C1">
              <w:rPr>
                <w:rFonts w:ascii="Times New Roman" w:hAnsi="Times New Roman"/>
                <w:b/>
              </w:rPr>
              <w:t>4</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5228C1" w:rsidRPr="000F7A08" w:rsidTr="005228C1">
        <w:trPr>
          <w:jc w:val="center"/>
        </w:trPr>
        <w:tc>
          <w:tcPr>
            <w:tcW w:w="729" w:type="dxa"/>
          </w:tcPr>
          <w:p w:rsidR="005228C1" w:rsidRPr="000F7A08" w:rsidRDefault="005228C1"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5228C1" w:rsidRPr="000F7A08" w:rsidRDefault="005228C1"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5228C1" w:rsidRPr="000F7A08" w:rsidRDefault="005228C1" w:rsidP="005228C1">
            <w:pPr>
              <w:spacing w:after="0" w:line="240" w:lineRule="auto"/>
              <w:ind w:right="141"/>
              <w:jc w:val="center"/>
              <w:rPr>
                <w:rFonts w:ascii="Times New Roman" w:hAnsi="Times New Roman"/>
                <w:sz w:val="26"/>
                <w:szCs w:val="26"/>
              </w:rPr>
            </w:pPr>
          </w:p>
          <w:p w:rsidR="005228C1" w:rsidRPr="000F7A08" w:rsidRDefault="005228C1" w:rsidP="005228C1">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094CD7" w:rsidP="005228C1">
            <w:pPr>
              <w:spacing w:after="0" w:line="240" w:lineRule="auto"/>
              <w:ind w:right="141"/>
              <w:jc w:val="center"/>
              <w:rPr>
                <w:rFonts w:ascii="Times New Roman" w:hAnsi="Times New Roman"/>
                <w:sz w:val="24"/>
                <w:szCs w:val="24"/>
              </w:rPr>
            </w:pPr>
            <w:r>
              <w:rPr>
                <w:rFonts w:ascii="Times New Roman" w:hAnsi="Times New Roman"/>
                <w:sz w:val="24"/>
                <w:szCs w:val="24"/>
              </w:rPr>
              <w:t>2</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094CD7" w:rsidP="005228C1">
            <w:pPr>
              <w:spacing w:after="0" w:line="240" w:lineRule="auto"/>
              <w:ind w:right="141"/>
              <w:jc w:val="center"/>
              <w:rPr>
                <w:rFonts w:ascii="Times New Roman" w:hAnsi="Times New Roman"/>
                <w:sz w:val="24"/>
                <w:szCs w:val="24"/>
              </w:rPr>
            </w:pPr>
            <w:r>
              <w:rPr>
                <w:rFonts w:ascii="Times New Roman" w:hAnsi="Times New Roman"/>
                <w:sz w:val="24"/>
                <w:szCs w:val="24"/>
              </w:rPr>
              <w:t>16</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обеспечение условий для отдыха и спорта </w:t>
      </w:r>
      <w:r w:rsidR="00A32888">
        <w:rPr>
          <w:rFonts w:ascii="Times New Roman" w:hAnsi="Times New Roman"/>
          <w:sz w:val="28"/>
          <w:szCs w:val="28"/>
        </w:rPr>
        <w:t>–</w:t>
      </w:r>
      <w:r w:rsidRPr="002F244F">
        <w:rPr>
          <w:rFonts w:ascii="Times New Roman" w:hAnsi="Times New Roman"/>
          <w:sz w:val="28"/>
          <w:szCs w:val="28"/>
        </w:rPr>
        <w:t xml:space="preserve">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w:t>
      </w:r>
      <w:r w:rsidR="00A32888" w:rsidRPr="002F244F">
        <w:rPr>
          <w:rFonts w:ascii="Times New Roman" w:hAnsi="Times New Roman"/>
          <w:sz w:val="28"/>
          <w:szCs w:val="28"/>
        </w:rPr>
        <w:lastRenderedPageBreak/>
        <w:t>В</w:t>
      </w:r>
      <w:r w:rsidRPr="002F244F">
        <w:rPr>
          <w:rFonts w:ascii="Times New Roman" w:hAnsi="Times New Roman"/>
          <w:sz w:val="28"/>
          <w:szCs w:val="28"/>
        </w:rPr>
        <w:t>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w:t>
      </w:r>
      <w:r>
        <w:rPr>
          <w:rFonts w:ascii="Times New Roman" w:hAnsi="Times New Roman"/>
          <w:sz w:val="28"/>
          <w:szCs w:val="28"/>
        </w:rPr>
        <w:lastRenderedPageBreak/>
        <w:t>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A32888" w:rsidP="002D7BC2">
      <w:pPr>
        <w:pStyle w:val="Point"/>
        <w:widowControl w:val="0"/>
        <w:spacing w:before="0" w:line="420" w:lineRule="exact"/>
        <w:ind w:firstLine="560"/>
        <w:jc w:val="right"/>
        <w:rPr>
          <w:spacing w:val="-2"/>
          <w:sz w:val="28"/>
          <w:szCs w:val="28"/>
        </w:rPr>
      </w:pPr>
      <w:r>
        <w:rPr>
          <w:spacing w:val="-2"/>
          <w:sz w:val="28"/>
          <w:szCs w:val="28"/>
        </w:rPr>
        <w:t>Т</w:t>
      </w:r>
      <w:r w:rsidR="002D7BC2">
        <w:rPr>
          <w:spacing w:val="-2"/>
          <w:sz w:val="28"/>
          <w:szCs w:val="28"/>
        </w:rPr>
        <w:t>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w:t>
            </w:r>
            <w:r w:rsidR="00F22323">
              <w:rPr>
                <w:rFonts w:ascii="Times New Roman" w:hAnsi="Times New Roman"/>
                <w:sz w:val="24"/>
                <w:szCs w:val="24"/>
              </w:rPr>
              <w:t>ородского поселения на 2018-2024</w:t>
            </w:r>
            <w:r w:rsidR="008F0ECF">
              <w:rPr>
                <w:rFonts w:ascii="Times New Roman" w:hAnsi="Times New Roman"/>
                <w:sz w:val="24"/>
                <w:szCs w:val="24"/>
              </w:rPr>
              <w:t xml:space="preserve">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w:t>
            </w:r>
            <w:r w:rsidR="008F0ECF" w:rsidRPr="008F0ECF">
              <w:rPr>
                <w:rFonts w:ascii="Times New Roman" w:eastAsia="Times New Roman" w:hAnsi="Times New Roman"/>
                <w:sz w:val="24"/>
                <w:szCs w:val="24"/>
                <w:lang w:eastAsia="ru-RU"/>
              </w:rPr>
              <w:lastRenderedPageBreak/>
              <w:t>благоустройства территорий, включенных в муниципальную программу «Формирование современной городской 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lastRenderedPageBreak/>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w:t>
      </w:r>
      <w:r>
        <w:rPr>
          <w:rFonts w:ascii="Times New Roman" w:hAnsi="Times New Roman"/>
          <w:sz w:val="28"/>
          <w:szCs w:val="28"/>
        </w:rPr>
        <w:lastRenderedPageBreak/>
        <w:t xml:space="preserve">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 целях реализации отдельного мероприятия утверждается порядок общественного обсуждения Программы, порядок и сроки рассмотрения </w:t>
      </w:r>
      <w:r w:rsidRPr="000D2A84">
        <w:rPr>
          <w:rFonts w:ascii="Times New Roman" w:hAnsi="Times New Roman"/>
          <w:sz w:val="28"/>
          <w:szCs w:val="28"/>
        </w:rPr>
        <w:lastRenderedPageBreak/>
        <w:t>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66386F">
        <w:rPr>
          <w:rFonts w:ascii="Times New Roman" w:hAnsi="Times New Roman"/>
          <w:sz w:val="28"/>
          <w:szCs w:val="28"/>
        </w:rPr>
        <w:t>19960,92</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66386F">
        <w:rPr>
          <w:rFonts w:ascii="Times New Roman" w:hAnsi="Times New Roman"/>
          <w:sz w:val="28"/>
          <w:szCs w:val="28"/>
        </w:rPr>
        <w:t>19202,8</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66386F">
        <w:rPr>
          <w:rFonts w:ascii="Times New Roman" w:hAnsi="Times New Roman"/>
          <w:sz w:val="28"/>
          <w:szCs w:val="28"/>
        </w:rPr>
        <w:t>758,12</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w:t>
      </w:r>
      <w:r w:rsidRPr="000D2A84">
        <w:rPr>
          <w:rFonts w:ascii="Times New Roman" w:hAnsi="Times New Roman"/>
          <w:sz w:val="28"/>
          <w:szCs w:val="28"/>
        </w:rPr>
        <w:lastRenderedPageBreak/>
        <w:t>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886951">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C5ACC">
      <w:pPr>
        <w:rPr>
          <w:rFonts w:ascii="Times New Roman" w:hAnsi="Times New Roman"/>
          <w:sz w:val="26"/>
          <w:szCs w:val="26"/>
        </w:rPr>
      </w:pPr>
    </w:p>
    <w:p w:rsidR="00066E9D" w:rsidRDefault="00066E9D" w:rsidP="003C5ACC">
      <w:pPr>
        <w:rPr>
          <w:rFonts w:ascii="Times New Roman" w:hAnsi="Times New Roman"/>
          <w:sz w:val="26"/>
          <w:szCs w:val="26"/>
        </w:rPr>
      </w:pPr>
    </w:p>
    <w:p w:rsidR="00066E9D" w:rsidRPr="00066E9D" w:rsidRDefault="00066E9D" w:rsidP="003C5ACC">
      <w:pP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066E9D" w:rsidP="00CF76A9">
            <w:pPr>
              <w:spacing w:after="0" w:line="240" w:lineRule="auto"/>
              <w:jc w:val="center"/>
              <w:rPr>
                <w:rFonts w:ascii="Times New Roman" w:hAnsi="Times New Roman"/>
                <w:sz w:val="24"/>
                <w:szCs w:val="24"/>
              </w:rPr>
            </w:pPr>
            <w:r>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066E9D">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66386F" w:rsidP="00354588">
            <w:pPr>
              <w:spacing w:after="0" w:line="240" w:lineRule="auto"/>
              <w:jc w:val="center"/>
              <w:rPr>
                <w:rFonts w:ascii="Times New Roman" w:hAnsi="Times New Roman"/>
              </w:rPr>
            </w:pPr>
            <w:r>
              <w:rPr>
                <w:rFonts w:ascii="Times New Roman" w:hAnsi="Times New Roman"/>
              </w:rPr>
              <w:t>(план)</w:t>
            </w:r>
          </w:p>
        </w:tc>
        <w:tc>
          <w:tcPr>
            <w:tcW w:w="708"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2021</w:t>
            </w:r>
          </w:p>
          <w:p w:rsidR="0066386F" w:rsidRPr="000F7A08" w:rsidRDefault="0066386F" w:rsidP="00354588">
            <w:pPr>
              <w:spacing w:after="0" w:line="240" w:lineRule="auto"/>
              <w:jc w:val="center"/>
              <w:rPr>
                <w:rFonts w:ascii="Times New Roman" w:hAnsi="Times New Roman"/>
              </w:rPr>
            </w:pPr>
            <w:r>
              <w:rPr>
                <w:rFonts w:ascii="Times New Roman" w:hAnsi="Times New Roman"/>
              </w:rPr>
              <w:t>(план)</w:t>
            </w:r>
          </w:p>
        </w:tc>
        <w:tc>
          <w:tcPr>
            <w:tcW w:w="709" w:type="dxa"/>
          </w:tcPr>
          <w:p w:rsidR="00B0056C" w:rsidRDefault="00B0056C" w:rsidP="00354588">
            <w:pPr>
              <w:spacing w:after="0" w:line="240" w:lineRule="auto"/>
              <w:jc w:val="center"/>
              <w:rPr>
                <w:rFonts w:ascii="Times New Roman" w:hAnsi="Times New Roman"/>
              </w:rPr>
            </w:pPr>
            <w:r>
              <w:rPr>
                <w:rFonts w:ascii="Times New Roman" w:hAnsi="Times New Roman"/>
              </w:rPr>
              <w:t>2022</w:t>
            </w:r>
          </w:p>
          <w:p w:rsidR="0066386F" w:rsidRPr="000F7A08" w:rsidRDefault="0066386F" w:rsidP="00354588">
            <w:pPr>
              <w:spacing w:after="0" w:line="240" w:lineRule="auto"/>
              <w:jc w:val="center"/>
              <w:rPr>
                <w:rFonts w:ascii="Times New Roman" w:hAnsi="Times New Roman"/>
              </w:rPr>
            </w:pPr>
            <w:r>
              <w:rPr>
                <w:rFonts w:ascii="Times New Roman" w:hAnsi="Times New Roman"/>
              </w:rPr>
              <w:t>(план)</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2281,21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2258,4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495,0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495,0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495,0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B0056C" w:rsidP="00354588">
            <w:pPr>
              <w:spacing w:after="0" w:line="240" w:lineRule="auto"/>
              <w:jc w:val="center"/>
              <w:rPr>
                <w:rFonts w:ascii="Times New Roman" w:hAnsi="Times New Roman"/>
              </w:rPr>
            </w:pPr>
            <w:r w:rsidRPr="0066386F">
              <w:rPr>
                <w:rFonts w:ascii="Times New Roman" w:hAnsi="Times New Roman"/>
              </w:rPr>
              <w:t>-</w:t>
            </w:r>
          </w:p>
        </w:tc>
        <w:tc>
          <w:tcPr>
            <w:tcW w:w="708" w:type="dxa"/>
          </w:tcPr>
          <w:p w:rsidR="00B0056C" w:rsidRPr="0066386F" w:rsidRDefault="00B0056C"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22,81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13690,95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3002,4</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3147,2</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3406,5</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13529,6</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2972,4</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3107,2</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3356,5</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161,35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30,0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40,0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F31C89">
      <w:pPr>
        <w:spacing w:after="0" w:line="240" w:lineRule="auto"/>
        <w:rPr>
          <w:rFonts w:ascii="Times New Roman" w:hAnsi="Times New Roman"/>
          <w:sz w:val="26"/>
          <w:szCs w:val="26"/>
        </w:rPr>
      </w:pPr>
    </w:p>
    <w:sectPr w:rsidR="006F5479" w:rsidSect="00F31C89">
      <w:pgSz w:w="16838" w:h="11906" w:orient="landscape"/>
      <w:pgMar w:top="425" w:right="709"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BF3" w:rsidRDefault="003D3BF3" w:rsidP="001004E8">
      <w:pPr>
        <w:spacing w:after="0" w:line="240" w:lineRule="auto"/>
      </w:pPr>
      <w:r>
        <w:separator/>
      </w:r>
    </w:p>
  </w:endnote>
  <w:endnote w:type="continuationSeparator" w:id="1">
    <w:p w:rsidR="003D3BF3" w:rsidRDefault="003D3BF3"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BF3" w:rsidRDefault="003D3BF3" w:rsidP="001004E8">
      <w:pPr>
        <w:spacing w:after="0" w:line="240" w:lineRule="auto"/>
      </w:pPr>
      <w:r>
        <w:separator/>
      </w:r>
    </w:p>
  </w:footnote>
  <w:footnote w:type="continuationSeparator" w:id="1">
    <w:p w:rsidR="003D3BF3" w:rsidRDefault="003D3BF3"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883" w:rsidRDefault="00603883"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10933AC"/>
    <w:multiLevelType w:val="hybridMultilevel"/>
    <w:tmpl w:val="1282473A"/>
    <w:lvl w:ilvl="0" w:tplc="C952E80E">
      <w:start w:val="20"/>
      <w:numFmt w:val="decimal"/>
      <w:lvlText w:val="%1.."/>
      <w:lvlJc w:val="left"/>
      <w:pPr>
        <w:ind w:left="754" w:hanging="72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6">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9">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12"/>
  </w:num>
  <w:num w:numId="6">
    <w:abstractNumId w:val="6"/>
  </w:num>
  <w:num w:numId="7">
    <w:abstractNumId w:val="1"/>
  </w:num>
  <w:num w:numId="8">
    <w:abstractNumId w:val="5"/>
  </w:num>
  <w:num w:numId="9">
    <w:abstractNumId w:val="11"/>
  </w:num>
  <w:num w:numId="10">
    <w:abstractNumId w:val="16"/>
  </w:num>
  <w:num w:numId="11">
    <w:abstractNumId w:val="13"/>
  </w:num>
  <w:num w:numId="12">
    <w:abstractNumId w:val="14"/>
  </w:num>
  <w:num w:numId="13">
    <w:abstractNumId w:val="15"/>
  </w:num>
  <w:num w:numId="14">
    <w:abstractNumId w:val="8"/>
  </w:num>
  <w:num w:numId="15">
    <w:abstractNumId w:val="9"/>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2050"/>
    <w:rsid w:val="00035346"/>
    <w:rsid w:val="00037DDB"/>
    <w:rsid w:val="000402BC"/>
    <w:rsid w:val="00041077"/>
    <w:rsid w:val="0004182B"/>
    <w:rsid w:val="00050F1F"/>
    <w:rsid w:val="00057326"/>
    <w:rsid w:val="00066E9D"/>
    <w:rsid w:val="00067669"/>
    <w:rsid w:val="0008011C"/>
    <w:rsid w:val="00080E8F"/>
    <w:rsid w:val="00083D30"/>
    <w:rsid w:val="00094CD7"/>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52E9B"/>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6096"/>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3BF3"/>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228C1"/>
    <w:rsid w:val="00533FFD"/>
    <w:rsid w:val="00551322"/>
    <w:rsid w:val="0055249E"/>
    <w:rsid w:val="005524C7"/>
    <w:rsid w:val="00564FFC"/>
    <w:rsid w:val="005702F4"/>
    <w:rsid w:val="0057051B"/>
    <w:rsid w:val="00570FCB"/>
    <w:rsid w:val="00571EC9"/>
    <w:rsid w:val="00572D23"/>
    <w:rsid w:val="005738DA"/>
    <w:rsid w:val="00574CB0"/>
    <w:rsid w:val="005761FB"/>
    <w:rsid w:val="005766E5"/>
    <w:rsid w:val="00577706"/>
    <w:rsid w:val="005A227F"/>
    <w:rsid w:val="005B1D04"/>
    <w:rsid w:val="005B3A9D"/>
    <w:rsid w:val="005C0092"/>
    <w:rsid w:val="005C657E"/>
    <w:rsid w:val="005D2F90"/>
    <w:rsid w:val="005D64D2"/>
    <w:rsid w:val="005E4958"/>
    <w:rsid w:val="005F7D7C"/>
    <w:rsid w:val="00603883"/>
    <w:rsid w:val="006048FF"/>
    <w:rsid w:val="0060606B"/>
    <w:rsid w:val="00616B8E"/>
    <w:rsid w:val="006242C6"/>
    <w:rsid w:val="0062557B"/>
    <w:rsid w:val="006256E2"/>
    <w:rsid w:val="006275A2"/>
    <w:rsid w:val="006323AE"/>
    <w:rsid w:val="006343B4"/>
    <w:rsid w:val="006372EE"/>
    <w:rsid w:val="00650481"/>
    <w:rsid w:val="0065216E"/>
    <w:rsid w:val="0065346B"/>
    <w:rsid w:val="00657DB5"/>
    <w:rsid w:val="0066386F"/>
    <w:rsid w:val="006667B7"/>
    <w:rsid w:val="00682A62"/>
    <w:rsid w:val="0068636D"/>
    <w:rsid w:val="006863DB"/>
    <w:rsid w:val="00687CFC"/>
    <w:rsid w:val="006A599E"/>
    <w:rsid w:val="006A5E46"/>
    <w:rsid w:val="006A7D21"/>
    <w:rsid w:val="006B1826"/>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168B6"/>
    <w:rsid w:val="00720AAC"/>
    <w:rsid w:val="007224AB"/>
    <w:rsid w:val="00725CF8"/>
    <w:rsid w:val="00746642"/>
    <w:rsid w:val="0074718F"/>
    <w:rsid w:val="00753C92"/>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86951"/>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5FD9"/>
    <w:rsid w:val="00987D69"/>
    <w:rsid w:val="009A14D7"/>
    <w:rsid w:val="009A468B"/>
    <w:rsid w:val="009A4FDE"/>
    <w:rsid w:val="009D59A8"/>
    <w:rsid w:val="009D5CEC"/>
    <w:rsid w:val="009D5F2D"/>
    <w:rsid w:val="009D7AEF"/>
    <w:rsid w:val="009F63B3"/>
    <w:rsid w:val="00A110DE"/>
    <w:rsid w:val="00A12950"/>
    <w:rsid w:val="00A14D70"/>
    <w:rsid w:val="00A15917"/>
    <w:rsid w:val="00A16073"/>
    <w:rsid w:val="00A16496"/>
    <w:rsid w:val="00A165A5"/>
    <w:rsid w:val="00A263F0"/>
    <w:rsid w:val="00A26A8A"/>
    <w:rsid w:val="00A31499"/>
    <w:rsid w:val="00A32888"/>
    <w:rsid w:val="00A3432B"/>
    <w:rsid w:val="00A3506F"/>
    <w:rsid w:val="00A416A6"/>
    <w:rsid w:val="00A467AD"/>
    <w:rsid w:val="00A56D6C"/>
    <w:rsid w:val="00A70C69"/>
    <w:rsid w:val="00A72E0F"/>
    <w:rsid w:val="00AB2CD1"/>
    <w:rsid w:val="00AC30D1"/>
    <w:rsid w:val="00AC591F"/>
    <w:rsid w:val="00AC7B82"/>
    <w:rsid w:val="00AD3EA2"/>
    <w:rsid w:val="00AE7C1D"/>
    <w:rsid w:val="00AF27E1"/>
    <w:rsid w:val="00AF46D8"/>
    <w:rsid w:val="00AF4CCA"/>
    <w:rsid w:val="00B0056C"/>
    <w:rsid w:val="00B07305"/>
    <w:rsid w:val="00B07CD2"/>
    <w:rsid w:val="00B113BD"/>
    <w:rsid w:val="00B11A19"/>
    <w:rsid w:val="00B11EA6"/>
    <w:rsid w:val="00B17828"/>
    <w:rsid w:val="00B237CB"/>
    <w:rsid w:val="00B237DD"/>
    <w:rsid w:val="00B51D9F"/>
    <w:rsid w:val="00B520B5"/>
    <w:rsid w:val="00B53D1F"/>
    <w:rsid w:val="00B64019"/>
    <w:rsid w:val="00B66A89"/>
    <w:rsid w:val="00B66FE9"/>
    <w:rsid w:val="00B67C65"/>
    <w:rsid w:val="00B733E4"/>
    <w:rsid w:val="00B74520"/>
    <w:rsid w:val="00B80256"/>
    <w:rsid w:val="00B841B9"/>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832"/>
    <w:rsid w:val="00C46E4C"/>
    <w:rsid w:val="00C6639C"/>
    <w:rsid w:val="00C668AB"/>
    <w:rsid w:val="00C67E6D"/>
    <w:rsid w:val="00C70A6A"/>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417EC"/>
    <w:rsid w:val="00D431BD"/>
    <w:rsid w:val="00D46131"/>
    <w:rsid w:val="00D468E5"/>
    <w:rsid w:val="00D5464E"/>
    <w:rsid w:val="00D55957"/>
    <w:rsid w:val="00D73C71"/>
    <w:rsid w:val="00D77A48"/>
    <w:rsid w:val="00D819F2"/>
    <w:rsid w:val="00D914F1"/>
    <w:rsid w:val="00D9379D"/>
    <w:rsid w:val="00D957D9"/>
    <w:rsid w:val="00DA4E87"/>
    <w:rsid w:val="00DA57CB"/>
    <w:rsid w:val="00DA685E"/>
    <w:rsid w:val="00DB0076"/>
    <w:rsid w:val="00DB5C22"/>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2EB4"/>
    <w:rsid w:val="00E52444"/>
    <w:rsid w:val="00E56BD7"/>
    <w:rsid w:val="00E6331E"/>
    <w:rsid w:val="00E65480"/>
    <w:rsid w:val="00E713D7"/>
    <w:rsid w:val="00E734AC"/>
    <w:rsid w:val="00E7769E"/>
    <w:rsid w:val="00E84095"/>
    <w:rsid w:val="00E84A15"/>
    <w:rsid w:val="00E86619"/>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2323"/>
    <w:rsid w:val="00F2526F"/>
    <w:rsid w:val="00F312A5"/>
    <w:rsid w:val="00F3140B"/>
    <w:rsid w:val="00F31C89"/>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5B68"/>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3E1CE-3EA8-4F50-8830-8D88EE39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8949</Words>
  <Characters>51010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65</cp:revision>
  <cp:lastPrinted>2020-02-06T08:56:00Z</cp:lastPrinted>
  <dcterms:created xsi:type="dcterms:W3CDTF">2018-02-26T08:17:00Z</dcterms:created>
  <dcterms:modified xsi:type="dcterms:W3CDTF">2020-03-04T08:50:00Z</dcterms:modified>
</cp:coreProperties>
</file>