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sz w:val="28"/>
          <w:szCs w:val="28"/>
        </w:rPr>
        <w:t xml:space="preserve">АДМИНИСТРАЦИЯ </w:t>
      </w:r>
    </w:p>
    <w:p>
      <w:pPr>
        <w:pStyle w:val="style0"/>
        <w:jc w:val="center"/>
      </w:pPr>
      <w:r>
        <w:rPr>
          <w:b/>
          <w:sz w:val="28"/>
          <w:szCs w:val="28"/>
        </w:rPr>
        <w:t>НОВОСМАИЛЬСКОГО СЕЛЬСКОГО ПОСЕЛЕНИЯ  МАЛМЫЖСКОГО РАЙОНА КИРОВСКОЙ ОБЛАСТИ</w:t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p>
      <w:pPr>
        <w:pStyle w:val="style0"/>
        <w:jc w:val="center"/>
      </w:pPr>
      <w:r>
        <w:rPr>
          <w:b/>
          <w:sz w:val="32"/>
          <w:szCs w:val="32"/>
        </w:rPr>
        <w:t>ПОСТАНОВЛЕНИЕ</w:t>
      </w:r>
    </w:p>
    <w:p>
      <w:pPr>
        <w:pStyle w:val="style0"/>
        <w:jc w:val="center"/>
      </w:pPr>
      <w:r>
        <w:rPr>
          <w:b/>
          <w:sz w:val="32"/>
          <w:szCs w:val="32"/>
        </w:rPr>
      </w:r>
    </w:p>
    <w:p>
      <w:pPr>
        <w:pStyle w:val="style0"/>
        <w:jc w:val="center"/>
      </w:pPr>
      <w:r>
        <w:rPr>
          <w:b/>
          <w:sz w:val="32"/>
          <w:szCs w:val="32"/>
        </w:rPr>
      </w:r>
    </w:p>
    <w:p>
      <w:pPr>
        <w:pStyle w:val="style0"/>
      </w:pPr>
      <w:r>
        <w:rPr>
          <w:sz w:val="28"/>
          <w:szCs w:val="28"/>
          <w:u w:val="single"/>
        </w:rPr>
        <w:t>20.12.2012</w:t>
      </w:r>
      <w:r>
        <w:rPr>
          <w:sz w:val="28"/>
          <w:szCs w:val="28"/>
        </w:rPr>
        <w:t xml:space="preserve">                                                                                                          № 64</w:t>
      </w:r>
    </w:p>
    <w:p>
      <w:pPr>
        <w:pStyle w:val="style0"/>
      </w:pPr>
      <w:r>
        <w:rPr>
          <w:sz w:val="28"/>
          <w:szCs w:val="28"/>
          <w:u w:val="single"/>
        </w:rPr>
      </w:r>
    </w:p>
    <w:p>
      <w:pPr>
        <w:pStyle w:val="style0"/>
        <w:jc w:val="center"/>
      </w:pPr>
      <w:r>
        <w:rPr>
          <w:sz w:val="28"/>
          <w:szCs w:val="28"/>
        </w:rPr>
        <w:t xml:space="preserve">С. Новая Смаиль </w:t>
      </w:r>
    </w:p>
    <w:p>
      <w:pPr>
        <w:pStyle w:val="style0"/>
        <w:jc w:val="center"/>
      </w:pPr>
      <w:r>
        <w:rPr>
          <w:sz w:val="28"/>
          <w:szCs w:val="28"/>
        </w:rPr>
      </w:r>
    </w:p>
    <w:p>
      <w:pPr>
        <w:pStyle w:val="style0"/>
        <w:jc w:val="center"/>
      </w:pPr>
      <w:r>
        <w:rPr>
          <w:sz w:val="28"/>
          <w:szCs w:val="28"/>
        </w:rPr>
      </w:r>
    </w:p>
    <w:tbl>
      <w:tblPr>
        <w:jc w:val="left"/>
        <w:tblInd w:type="dxa" w:w="-108"/>
        <w:tblBorders/>
      </w:tblPr>
      <w:tblGrid>
        <w:gridCol w:w="9570"/>
      </w:tblGrid>
      <w:tr>
        <w:trPr>
          <w:cantSplit w:val="false"/>
        </w:trPr>
        <w:tc>
          <w:tcPr>
            <w:tcW w:type="dxa" w:w="957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и дополнений  в постановление администрации Новосмаильского сельского поселения от 04.04.2012 г. № 15 </w:t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Администрация Новосмаильского сельского поселения Малмыжского района Кировской области ПОСТАНОВЛЯЕТ: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2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Внести изменения в постановление администрации Новосмаильского сельского поселения Малмыжского района Кировской области от 04.04.2012 № 15 «Об утверждении Реестра муниципальных услуг предоставляемыми органами местного самоуправления и муниципальными учреждениями Новосмаильского сельского поселения», утвердив изменения  в Реестре муниципальных услуг, предоставляемых органами местного самоуправления  и муниципальными учреждениями Новосмаильского сельского поселения. Прилагается.</w:t>
      </w:r>
    </w:p>
    <w:p>
      <w:pPr>
        <w:pStyle w:val="style2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Опубликовать постановление в информационном бюллетени  органов местного самоуправления  муниципального образования Новосмаильское сельское поселение.</w:t>
      </w:r>
    </w:p>
    <w:p>
      <w:pPr>
        <w:pStyle w:val="style23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</w:rPr>
        <w:t>Постановление вступает в силу после официального опубликования.</w:t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jc w:val="both"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Глава администрации </w:t>
      </w:r>
    </w:p>
    <w:p>
      <w:pPr>
        <w:sectPr>
          <w:type w:val="nextPage"/>
          <w:pgSz w:h="16838" w:w="11906"/>
          <w:pgMar w:bottom="1134" w:footer="0" w:gutter="0" w:header="0" w:left="1701" w:right="851" w:top="1134"/>
          <w:pgNumType w:fmt="decimal"/>
          <w:formProt w:val="false"/>
          <w:textDirection w:val="lrTb"/>
          <w:docGrid w:charSpace="0" w:linePitch="360" w:type="default"/>
        </w:sectPr>
        <w:pStyle w:val="style0"/>
        <w:jc w:val="both"/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сельского поселения                                                      Р.Г. Бикмухаметов </w:t>
      </w:r>
    </w:p>
    <w:p>
      <w:pPr>
        <w:pStyle w:val="style0"/>
        <w:pageBreakBefore/>
        <w:jc w:val="right"/>
      </w:pPr>
      <w:r>
        <w:rPr>
          <w:sz w:val="28"/>
          <w:szCs w:val="28"/>
        </w:rPr>
        <w:t xml:space="preserve">УТВЕРЖДЕН </w:t>
      </w:r>
    </w:p>
    <w:p>
      <w:pPr>
        <w:pStyle w:val="style0"/>
        <w:jc w:val="right"/>
      </w:pPr>
      <w:r>
        <w:rPr>
          <w:sz w:val="28"/>
          <w:szCs w:val="28"/>
        </w:rPr>
        <w:t xml:space="preserve">Постановлением администрации </w:t>
      </w:r>
    </w:p>
    <w:p>
      <w:pPr>
        <w:pStyle w:val="style0"/>
        <w:jc w:val="right"/>
      </w:pPr>
      <w:r>
        <w:rPr>
          <w:sz w:val="28"/>
          <w:szCs w:val="28"/>
        </w:rPr>
        <w:t xml:space="preserve">сельского поселения </w:t>
      </w:r>
    </w:p>
    <w:p>
      <w:pPr>
        <w:pStyle w:val="style0"/>
        <w:jc w:val="right"/>
      </w:pPr>
      <w:r>
        <w:rPr>
          <w:sz w:val="28"/>
          <w:szCs w:val="28"/>
        </w:rPr>
        <w:t>от 20.12.2012 № 64</w:t>
      </w:r>
    </w:p>
    <w:p>
      <w:pPr>
        <w:pStyle w:val="style0"/>
        <w:jc w:val="right"/>
      </w:pPr>
      <w:r>
        <w:rPr>
          <w:sz w:val="28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  <w:t>РЕЕСТР</w:t>
      </w:r>
    </w:p>
    <w:p>
      <w:pPr>
        <w:pStyle w:val="style0"/>
        <w:jc w:val="center"/>
      </w:pPr>
      <w:r>
        <w:rPr>
          <w:sz w:val="28"/>
          <w:szCs w:val="28"/>
        </w:rPr>
        <w:t xml:space="preserve">муниципальных услуг , предоставляемых органами местного самоуправления муниципального образования </w:t>
      </w:r>
    </w:p>
    <w:p>
      <w:pPr>
        <w:pStyle w:val="style0"/>
        <w:jc w:val="center"/>
      </w:pPr>
      <w:r>
        <w:rPr>
          <w:sz w:val="28"/>
          <w:szCs w:val="28"/>
        </w:rPr>
        <w:t>Новосмаильское сельское поселение</w:t>
      </w:r>
    </w:p>
    <w:p>
      <w:pPr>
        <w:pStyle w:val="style0"/>
        <w:jc w:val="center"/>
      </w:pPr>
      <w:r>
        <w:rPr>
          <w:sz w:val="28"/>
          <w:szCs w:val="28"/>
        </w:rPr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657"/>
        <w:gridCol w:w="3085"/>
        <w:gridCol w:w="2369"/>
        <w:gridCol w:w="2733"/>
        <w:gridCol w:w="4352"/>
        <w:gridCol w:w="1"/>
      </w:tblGrid>
      <w:tr>
        <w:trPr>
          <w:trHeight w:hRule="atLeast" w:val="766"/>
          <w:cantSplit w:val="false"/>
        </w:trPr>
        <w:tc>
          <w:tcPr>
            <w:tcW w:type="dxa" w:w="6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№ </w:t>
            </w:r>
            <w:r>
              <w:rPr/>
              <w:t>п\п</w:t>
            </w:r>
          </w:p>
        </w:tc>
        <w:tc>
          <w:tcPr>
            <w:tcW w:type="dxa" w:w="308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Наименование муниципальной услуги </w:t>
            </w:r>
          </w:p>
        </w:tc>
        <w:tc>
          <w:tcPr>
            <w:tcW w:type="dxa" w:w="236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Нормативный правовой акт , устанавливающий  полномочие  органа местного самоуправления </w:t>
            </w:r>
          </w:p>
        </w:tc>
        <w:tc>
          <w:tcPr>
            <w:tcW w:type="dxa" w:w="27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Сведения о структурном подразделении администрации сельского поселения, иных органах местного самоуправления , Новосмаильского сельского поселения , представляющих муниципальные </w:t>
            </w:r>
          </w:p>
          <w:p>
            <w:pPr>
              <w:pStyle w:val="style0"/>
              <w:jc w:val="both"/>
            </w:pPr>
            <w:r>
              <w:rPr/>
              <w:t xml:space="preserve">услуги  </w:t>
            </w:r>
          </w:p>
        </w:tc>
        <w:tc>
          <w:tcPr>
            <w:tcW w:type="dxa" w:w="4352"/>
            <w:gridSpan w:val="3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Сведения об услугах ,которые являются необходимыми и обязательными для представления муниципальных услуг , и включены в перечень ,утвержденный в соответствии с пунктом  3 части 1 статьи 9 ФЗ от 27.07.2010 года № 210-ФЗ «Об организации предоставления государственных и муниципальных услуг </w:t>
            </w:r>
          </w:p>
        </w:tc>
        <w:tc>
          <w:tcPr>
            <w:tcW w:type="dxa" w:w="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Наименование  услуги  в соответствии распоряжением  Правительства  РФ 17.12.2005 № 1993-р</w:t>
            </w:r>
          </w:p>
        </w:tc>
      </w:tr>
      <w:tr>
        <w:trPr>
          <w:trHeight w:hRule="atLeast" w:val="353"/>
          <w:cantSplit w:val="false"/>
        </w:trPr>
        <w:tc>
          <w:tcPr>
            <w:tcW w:type="dxa" w:w="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30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6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7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352"/>
            <w:gridSpan w:val="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  <w:tr>
        <w:trPr>
          <w:trHeight w:hRule="atLeast" w:val="2145"/>
          <w:cantSplit w:val="false"/>
        </w:trPr>
        <w:tc>
          <w:tcPr>
            <w:tcW w:type="dxa" w:w="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30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6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7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Наименование услуги 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Возмезд-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ность 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оказания </w:t>
            </w:r>
          </w:p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услуги 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Сведения о НПА , устанавливающем взимание платы с заявителя</w:t>
            </w:r>
          </w:p>
        </w:tc>
        <w:tc>
          <w:tcPr>
            <w:tcW w:type="dxa" w:w="158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  <w:tr>
        <w:trPr>
          <w:trHeight w:hRule="atLeast" w:val="202"/>
          <w:cantSplit w:val="false"/>
        </w:trPr>
        <w:tc>
          <w:tcPr>
            <w:tcW w:type="dxa" w:w="6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30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36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27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46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4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469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58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Прием заявлений , документов для признания граждан малоимущими 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Специалист по общим и социальным вопросам 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Нет    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Признание граждан малоимущими для постановки на учет в качестве нуждающихся в жилых помещениях</w:t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Муниципальный контроль за проведением муниципальных лоторей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Специалист по финансам и бюджетному учету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Контроль за проведением муниципальных лоторей</w:t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лесного контроля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Глава и специалисты сельского поселения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лесного контроля</w:t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Осуществление муниципального контроля в области использования  и охраны , особо  охраняемых природных территорий местного значения 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Глава и специалисты сельского поселения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контроля в области использования  и охраны , особо  охраняемых природных территорий местного значения</w:t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контроля  за сохранностью автомобильных дорог        местного значения в границах населенных  пунктов Новосмаильского сельского поселения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Глава администрации , специалисты 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</w:tr>
      <w:tr>
        <w:trPr>
          <w:cantSplit w:val="false"/>
        </w:trPr>
        <w:tc>
          <w:tcPr>
            <w:tcW w:type="dxa" w:w="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type="dxa" w:w="30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жилищного контроля</w:t>
            </w:r>
          </w:p>
        </w:tc>
        <w:tc>
          <w:tcPr>
            <w:tcW w:type="dxa" w:w="23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Положение об администрации сельского поселения , утвержденное решением Новосмаильской сельской Думы  от 30.10.2006  № 15/55</w:t>
            </w:r>
          </w:p>
        </w:tc>
        <w:tc>
          <w:tcPr>
            <w:tcW w:type="dxa" w:w="27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Глава администрации  жилищная комиссия </w:t>
            </w:r>
          </w:p>
        </w:tc>
        <w:tc>
          <w:tcPr>
            <w:tcW w:type="dxa" w:w="14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4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5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Осуществление муниципального жилищного контроля</w:t>
            </w:r>
          </w:p>
        </w:tc>
      </w:tr>
    </w:tbl>
    <w:p>
      <w:pPr>
        <w:pStyle w:val="style0"/>
        <w:jc w:val="both"/>
      </w:pPr>
      <w:r>
        <w:rPr>
          <w:sz w:val="28"/>
          <w:szCs w:val="28"/>
        </w:rPr>
      </w:r>
    </w:p>
    <w:p>
      <w:pPr>
        <w:pStyle w:val="style0"/>
        <w:ind w:firstLine="708" w:left="4248" w:right="0"/>
        <w:jc w:val="both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435" w:left="735"/>
      </w:pPr>
      <w:rPr/>
    </w:lvl>
    <w:lvl w:ilvl="1">
      <w:start w:val="1"/>
      <w:numFmt w:val="lowerLetter"/>
      <w:lvlText w:val="%2."/>
      <w:lvlJc w:val="left"/>
      <w:pPr>
        <w:ind w:hanging="360" w:left="1380"/>
      </w:pPr>
      <w:rPr/>
    </w:lvl>
    <w:lvl w:ilvl="2">
      <w:start w:val="1"/>
      <w:numFmt w:val="lowerRoman"/>
      <w:lvlText w:val="%3."/>
      <w:lvlJc w:val="right"/>
      <w:pPr>
        <w:ind w:hanging="180" w:left="2100"/>
      </w:pPr>
      <w:rPr/>
    </w:lvl>
    <w:lvl w:ilvl="3">
      <w:start w:val="1"/>
      <w:numFmt w:val="decimal"/>
      <w:lvlText w:val="%4."/>
      <w:lvlJc w:val="left"/>
      <w:pPr>
        <w:ind w:hanging="360" w:left="2820"/>
      </w:pPr>
      <w:rPr/>
    </w:lvl>
    <w:lvl w:ilvl="4">
      <w:start w:val="1"/>
      <w:numFmt w:val="lowerLetter"/>
      <w:lvlText w:val="%5."/>
      <w:lvlJc w:val="left"/>
      <w:pPr>
        <w:ind w:hanging="360" w:left="3540"/>
      </w:pPr>
      <w:rPr/>
    </w:lvl>
    <w:lvl w:ilvl="5">
      <w:start w:val="1"/>
      <w:numFmt w:val="lowerRoman"/>
      <w:lvlText w:val="%6."/>
      <w:lvlJc w:val="right"/>
      <w:pPr>
        <w:ind w:hanging="180" w:left="4260"/>
      </w:pPr>
      <w:rPr/>
    </w:lvl>
    <w:lvl w:ilvl="6">
      <w:start w:val="1"/>
      <w:numFmt w:val="decimal"/>
      <w:lvlText w:val="%7."/>
      <w:lvlJc w:val="left"/>
      <w:pPr>
        <w:ind w:hanging="360" w:left="4980"/>
      </w:pPr>
      <w:rPr/>
    </w:lvl>
    <w:lvl w:ilvl="7">
      <w:start w:val="1"/>
      <w:numFmt w:val="lowerLetter"/>
      <w:lvlText w:val="%8."/>
      <w:lvlJc w:val="left"/>
      <w:pPr>
        <w:ind w:hanging="360" w:left="5700"/>
      </w:pPr>
      <w:rPr/>
    </w:lvl>
    <w:lvl w:ilvl="8">
      <w:start w:val="1"/>
      <w:numFmt w:val="lowerRoman"/>
      <w:lvlText w:val="%9."/>
      <w:lvlJc w:val="right"/>
      <w:pPr>
        <w:ind w:hanging="180" w:left="64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19"/>
    <w:pPr>
      <w:keepNext/>
      <w:spacing w:after="60" w:before="240"/>
    </w:pPr>
    <w:rPr>
      <w:rFonts w:ascii="Cambria" w:hAnsi="Cambria"/>
      <w:b/>
      <w:bCs/>
      <w:sz w:val="32"/>
      <w:szCs w:val="32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Cambria" w:cs="Times New Roman" w:hAnsi="Cambria"/>
      <w:b/>
      <w:bCs/>
      <w:sz w:val="32"/>
      <w:szCs w:val="32"/>
      <w:lang w:bidi="ar-SA" w:eastAsia="ar-SA"/>
    </w:rPr>
  </w:style>
  <w:style w:styleId="style17" w:type="character">
    <w:name w:val="ListLabel 1"/>
    <w:next w:val="style17"/>
    <w:rPr>
      <w:rFonts w:cs="Times New Roman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List Paragraph"/>
    <w:basedOn w:val="style0"/>
    <w:next w:val="style23"/>
    <w:pPr>
      <w:spacing w:after="200" w:before="0" w:line="276" w:lineRule="auto"/>
      <w:ind w:hanging="0" w:left="720" w:right="0"/>
    </w:pPr>
    <w:rPr>
      <w:rFonts w:ascii="Calibri" w:hAnsi="Calibri"/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2012-12-25T11:12:00.00Z</dcterms:created>
  <dc:creator>Оператор</dc:creator>
  <cp:lastModifiedBy>User</cp:lastModifiedBy>
  <dcterms:modified xsi:type="dcterms:W3CDTF">2014-04-25T12:19:00.00Z</dcterms:modified>
  <cp:revision>4</cp:revision>
</cp:coreProperties>
</file>