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54" w:rsidRDefault="007D1254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D1254" w:rsidRPr="007D1254" w:rsidRDefault="007D1254" w:rsidP="007D12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РОЖКИНСКАЯ </w:t>
      </w:r>
      <w:r w:rsidRPr="007D1254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7D1254" w:rsidRPr="007D1254" w:rsidRDefault="007D1254" w:rsidP="007D12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254">
        <w:rPr>
          <w:rFonts w:ascii="Times New Roman" w:hAnsi="Times New Roman" w:cs="Times New Roman"/>
          <w:b/>
          <w:sz w:val="28"/>
          <w:szCs w:val="28"/>
        </w:rPr>
        <w:t>МАЛМЫЖСКОГО РАЙОНА КИРОВСКОЙ  ОБЛАСТИ</w:t>
      </w:r>
    </w:p>
    <w:p w:rsidR="007D1254" w:rsidRPr="007D1254" w:rsidRDefault="007D1254" w:rsidP="007D12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254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7D1254" w:rsidRPr="007D1254" w:rsidRDefault="007D1254" w:rsidP="007D12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54" w:rsidRPr="007D1254" w:rsidRDefault="007D1254" w:rsidP="007D125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D125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7D1254" w:rsidRPr="007D1254" w:rsidRDefault="007D1254" w:rsidP="007D12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1254" w:rsidRPr="007D1254" w:rsidRDefault="007D1254" w:rsidP="007D12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29.10</w:t>
      </w:r>
      <w:r w:rsidRPr="007D1254">
        <w:rPr>
          <w:rFonts w:ascii="Times New Roman" w:hAnsi="Times New Roman" w:cs="Times New Roman"/>
          <w:sz w:val="28"/>
          <w:szCs w:val="28"/>
        </w:rPr>
        <w:t xml:space="preserve">.2015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2</w:t>
      </w:r>
      <w:r w:rsidRPr="007D1254">
        <w:rPr>
          <w:rFonts w:ascii="Times New Roman" w:hAnsi="Times New Roman" w:cs="Times New Roman"/>
          <w:sz w:val="28"/>
          <w:szCs w:val="28"/>
        </w:rPr>
        <w:t>7</w:t>
      </w:r>
    </w:p>
    <w:p w:rsidR="007D1254" w:rsidRPr="007D1254" w:rsidRDefault="007D1254" w:rsidP="007D12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7D1254" w:rsidRPr="007D1254" w:rsidRDefault="007D1254" w:rsidP="007D125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pStyle w:val="1"/>
        <w:jc w:val="center"/>
        <w:rPr>
          <w:b/>
          <w:bCs/>
          <w:sz w:val="28"/>
          <w:szCs w:val="28"/>
        </w:rPr>
      </w:pPr>
      <w:r w:rsidRPr="007D1254">
        <w:rPr>
          <w:b/>
          <w:bCs/>
          <w:sz w:val="28"/>
          <w:szCs w:val="28"/>
        </w:rPr>
        <w:t>Об установлении налога на имущество физических лиц</w:t>
      </w:r>
    </w:p>
    <w:p w:rsidR="007D1254" w:rsidRPr="007D1254" w:rsidRDefault="007D1254" w:rsidP="007D12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1254" w:rsidRPr="007D1254" w:rsidRDefault="007D1254" w:rsidP="007D1254">
      <w:pPr>
        <w:pStyle w:val="a3"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7D1254">
        <w:rPr>
          <w:color w:val="auto"/>
          <w:sz w:val="28"/>
          <w:szCs w:val="28"/>
        </w:rPr>
        <w:t>В соответствии с главой 32 части второй Налогового кодекса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04 октября 2014 года № 284-ФЗ «О внесении изменений в статьи 12 и 85 части первой и часть вторую Налогового кодекса и признании утратившими силу Закона Российской Федерации «О налогах на имущество</w:t>
      </w:r>
      <w:proofErr w:type="gramEnd"/>
      <w:r w:rsidRPr="007D1254">
        <w:rPr>
          <w:color w:val="auto"/>
          <w:sz w:val="28"/>
          <w:szCs w:val="28"/>
        </w:rPr>
        <w:t xml:space="preserve"> физических лиц», Законом Кировской области от 24.09.2015 № 564-ЗО «Об установлении единой даты начала применения на территории Кировской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proofErr w:type="gramStart"/>
      <w:r w:rsidRPr="007D1254">
        <w:rPr>
          <w:color w:val="auto"/>
          <w:sz w:val="28"/>
          <w:szCs w:val="28"/>
        </w:rPr>
        <w:t>руководствуясь Уставом муниципаль</w:t>
      </w:r>
      <w:r>
        <w:rPr>
          <w:color w:val="auto"/>
          <w:sz w:val="28"/>
          <w:szCs w:val="28"/>
        </w:rPr>
        <w:t>ного образования  Рожкинское</w:t>
      </w:r>
      <w:r w:rsidRPr="007D1254">
        <w:rPr>
          <w:color w:val="auto"/>
          <w:sz w:val="28"/>
          <w:szCs w:val="28"/>
        </w:rPr>
        <w:t xml:space="preserve"> сельское поселение Малмыжского района К</w:t>
      </w:r>
      <w:r>
        <w:rPr>
          <w:color w:val="auto"/>
          <w:sz w:val="28"/>
          <w:szCs w:val="28"/>
        </w:rPr>
        <w:t xml:space="preserve">ировской области  Рожкинская </w:t>
      </w:r>
      <w:r w:rsidRPr="007D1254">
        <w:rPr>
          <w:color w:val="auto"/>
          <w:sz w:val="28"/>
          <w:szCs w:val="28"/>
        </w:rPr>
        <w:t xml:space="preserve"> сельская Дума</w:t>
      </w:r>
      <w:r w:rsidRPr="007D1254">
        <w:rPr>
          <w:i/>
          <w:color w:val="auto"/>
          <w:sz w:val="28"/>
          <w:szCs w:val="28"/>
        </w:rPr>
        <w:t xml:space="preserve">  </w:t>
      </w:r>
      <w:r w:rsidRPr="007D1254">
        <w:rPr>
          <w:color w:val="auto"/>
          <w:sz w:val="28"/>
          <w:szCs w:val="28"/>
        </w:rPr>
        <w:t>РЕШИЛА</w:t>
      </w:r>
      <w:proofErr w:type="gramEnd"/>
      <w:r w:rsidRPr="007D1254">
        <w:rPr>
          <w:color w:val="auto"/>
          <w:sz w:val="28"/>
          <w:szCs w:val="28"/>
        </w:rPr>
        <w:t>:</w:t>
      </w:r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t>Установить и ввести в действие с 1 января 2016 года на территории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образования Рожкинское </w:t>
      </w:r>
      <w:r w:rsidRPr="007D1254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налог на имущество физических лиц (далее – налог).</w:t>
      </w:r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t xml:space="preserve">Установить, что налоговая база по налогу в отношении объектов налогообложения определяется исходя из их кадастровой стоимости.   </w:t>
      </w:r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t>Установить ставки налога исходя из кадастровой стоимости объекта налогообложения в следующих размерах:</w:t>
      </w:r>
    </w:p>
    <w:p w:rsidR="007D1254" w:rsidRPr="007D1254" w:rsidRDefault="007D1254" w:rsidP="007D1254">
      <w:pPr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lastRenderedPageBreak/>
        <w:t>0,3 процента в отношении: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а)   жилых домов, жилых помещений;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б) объектов незавершенного строительства в случае, если проектируемым назначением таких объектов является жилой дом;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в)  единых недвижимых комплексов, в состав которых входит хотя бы одно жилое помещение (жилой дом);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г) гаражей и машино-мест;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д)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2)  1 процент в отношении: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а) 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б)  объектов налогообложения, предусмотренных абзацем вторым пункта 10 статьи 378.2  Налогового кодекса Российской Федерации;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>3) 2 процента в отношении объектов налогообложения, кадастровая стоимость каждого из которых превышает 300 миллионов рублей;</w:t>
      </w:r>
    </w:p>
    <w:p w:rsidR="007D1254" w:rsidRPr="007D1254" w:rsidRDefault="007D1254" w:rsidP="007D1254">
      <w:pPr>
        <w:pStyle w:val="ConsPlusNormal"/>
        <w:spacing w:line="360" w:lineRule="auto"/>
        <w:ind w:firstLine="709"/>
        <w:jc w:val="both"/>
      </w:pPr>
      <w:r w:rsidRPr="007D1254">
        <w:t xml:space="preserve">4) 0,5 процента в отношении прочих объектов налогообложения.   </w:t>
      </w:r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t>Признать утратив</w:t>
      </w:r>
      <w:r>
        <w:rPr>
          <w:rFonts w:ascii="Times New Roman" w:hAnsi="Times New Roman" w:cs="Times New Roman"/>
          <w:sz w:val="28"/>
          <w:szCs w:val="28"/>
        </w:rPr>
        <w:t xml:space="preserve">шим силу решение Рожкинской </w:t>
      </w:r>
      <w:r w:rsidRPr="007D1254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Pr="007D125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Думы от 18.11.2014 № 38 </w:t>
      </w:r>
      <w:r w:rsidRPr="007D1254">
        <w:rPr>
          <w:rFonts w:ascii="Times New Roman" w:hAnsi="Times New Roman" w:cs="Times New Roman"/>
          <w:sz w:val="28"/>
          <w:szCs w:val="28"/>
        </w:rPr>
        <w:t xml:space="preserve"> «Об установлении налога на имущество физических лиц», действующее с 1 января 2015 года.</w:t>
      </w:r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2016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254">
        <w:rPr>
          <w:rFonts w:ascii="Times New Roman" w:hAnsi="Times New Roman" w:cs="Times New Roman"/>
          <w:sz w:val="28"/>
          <w:szCs w:val="28"/>
        </w:rPr>
        <w:t xml:space="preserve">Права и обязанности участников отношений, регулируемых законодательством Российской Федерации о налогах и сборах, возникшие в </w:t>
      </w:r>
      <w:r w:rsidRPr="007D1254">
        <w:rPr>
          <w:rFonts w:ascii="Times New Roman" w:hAnsi="Times New Roman" w:cs="Times New Roman"/>
          <w:sz w:val="28"/>
          <w:szCs w:val="28"/>
        </w:rPr>
        <w:lastRenderedPageBreak/>
        <w:t>налоговом периоде 2015 года по налогу на имущество физических лиц, осуществляются в порядке, установленном Налоговым кодексом Российской Федерации с учетом п</w:t>
      </w:r>
      <w:r>
        <w:rPr>
          <w:rFonts w:ascii="Times New Roman" w:hAnsi="Times New Roman" w:cs="Times New Roman"/>
          <w:sz w:val="28"/>
          <w:szCs w:val="28"/>
        </w:rPr>
        <w:t>оложений решения Рожкинской</w:t>
      </w:r>
      <w:r w:rsidRPr="007D1254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Pr="007D125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от 18.11.2014 № 38</w:t>
      </w:r>
      <w:r w:rsidRPr="007D1254">
        <w:rPr>
          <w:rFonts w:ascii="Times New Roman" w:hAnsi="Times New Roman" w:cs="Times New Roman"/>
          <w:sz w:val="28"/>
          <w:szCs w:val="28"/>
        </w:rPr>
        <w:t xml:space="preserve"> «Об установлении налога на имущество физических лиц», </w:t>
      </w:r>
      <w:r w:rsidRPr="007D1254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 xml:space="preserve"> </w:t>
      </w:r>
      <w:r w:rsidRPr="007D1254">
        <w:rPr>
          <w:rFonts w:ascii="Times New Roman" w:hAnsi="Times New Roman" w:cs="Times New Roman"/>
          <w:sz w:val="28"/>
          <w:szCs w:val="28"/>
        </w:rPr>
        <w:t xml:space="preserve">действующего до дня вступления в силу настоящего решения.      </w:t>
      </w:r>
      <w:proofErr w:type="gramEnd"/>
    </w:p>
    <w:p w:rsidR="007D1254" w:rsidRPr="007D1254" w:rsidRDefault="007D1254" w:rsidP="007D1254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254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Рожкинского</w:t>
      </w:r>
      <w:r w:rsidRPr="007D1254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</w:t>
      </w:r>
      <w:r w:rsidRPr="007D12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D1254">
        <w:rPr>
          <w:rFonts w:ascii="Times New Roman" w:hAnsi="Times New Roman" w:cs="Times New Roman"/>
          <w:sz w:val="28"/>
          <w:szCs w:val="28"/>
        </w:rPr>
        <w:t>и обнародовать на стенды и доски в общедоступных местах.</w:t>
      </w:r>
    </w:p>
    <w:p w:rsidR="007D1254" w:rsidRPr="007D1254" w:rsidRDefault="007D1254" w:rsidP="007D125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1254" w:rsidRPr="007D1254" w:rsidRDefault="007D1254" w:rsidP="007D125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1254" w:rsidRPr="007D1254" w:rsidRDefault="007D1254" w:rsidP="007D1254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А.Г.Беляев </w:t>
      </w: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Pr="007D1254" w:rsidRDefault="007D1254" w:rsidP="007D1254">
      <w:pPr>
        <w:spacing w:after="0" w:line="30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jc w:val="right"/>
        <w:rPr>
          <w:sz w:val="26"/>
          <w:szCs w:val="26"/>
        </w:rPr>
      </w:pPr>
    </w:p>
    <w:p w:rsidR="007D1254" w:rsidRDefault="007D1254" w:rsidP="007D1254">
      <w:pPr>
        <w:spacing w:line="300" w:lineRule="exact"/>
        <w:rPr>
          <w:sz w:val="26"/>
          <w:szCs w:val="26"/>
        </w:rPr>
      </w:pPr>
    </w:p>
    <w:p w:rsidR="007D1254" w:rsidRDefault="007D1254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D1254" w:rsidRDefault="007D1254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D1254" w:rsidRDefault="007D1254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D1254" w:rsidRDefault="007D1254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5428D" w:rsidRPr="0035428D" w:rsidRDefault="0035428D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АДЖИМСКАЯ СЕЛЬСКАЯ ДУМА</w:t>
      </w:r>
    </w:p>
    <w:p w:rsidR="0035428D" w:rsidRPr="0035428D" w:rsidRDefault="0035428D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35428D" w:rsidRPr="0035428D" w:rsidRDefault="0035428D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5428D" w:rsidRPr="0035428D" w:rsidRDefault="0035428D" w:rsidP="0035428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РЕШЕНИЕ</w:t>
      </w:r>
    </w:p>
    <w:p w:rsidR="0035428D" w:rsidRPr="0035428D" w:rsidRDefault="0035428D" w:rsidP="0035428D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13.11.2015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542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№38                                                   </w:t>
      </w:r>
    </w:p>
    <w:p w:rsidR="0035428D" w:rsidRPr="0035428D" w:rsidRDefault="0035428D" w:rsidP="0035428D">
      <w:pPr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</w:t>
      </w:r>
      <w:proofErr w:type="gramStart"/>
      <w:r w:rsidRPr="0035428D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35428D">
        <w:rPr>
          <w:rFonts w:ascii="Times New Roman" w:hAnsi="Times New Roman" w:cs="Times New Roman"/>
          <w:sz w:val="28"/>
          <w:szCs w:val="28"/>
        </w:rPr>
        <w:t>джим</w:t>
      </w:r>
    </w:p>
    <w:p w:rsidR="0035428D" w:rsidRPr="0035428D" w:rsidRDefault="0035428D" w:rsidP="003542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28D" w:rsidRPr="0035428D" w:rsidRDefault="0035428D" w:rsidP="0035428D">
      <w:pPr>
        <w:pStyle w:val="1"/>
        <w:jc w:val="center"/>
        <w:rPr>
          <w:b/>
          <w:bCs/>
          <w:sz w:val="28"/>
          <w:szCs w:val="28"/>
        </w:rPr>
      </w:pPr>
      <w:bookmarkStart w:id="0" w:name="_Toc105952706"/>
      <w:r w:rsidRPr="0035428D">
        <w:rPr>
          <w:b/>
          <w:bCs/>
          <w:sz w:val="28"/>
          <w:szCs w:val="28"/>
        </w:rPr>
        <w:t>Об установлении налога на имущество физических лиц</w:t>
      </w:r>
      <w:bookmarkEnd w:id="0"/>
    </w:p>
    <w:p w:rsidR="0035428D" w:rsidRPr="0035428D" w:rsidRDefault="0035428D" w:rsidP="003542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28D" w:rsidRPr="0035428D" w:rsidRDefault="0035428D" w:rsidP="0035428D">
      <w:pPr>
        <w:pStyle w:val="a3"/>
        <w:spacing w:line="300" w:lineRule="exact"/>
        <w:ind w:firstLine="709"/>
        <w:jc w:val="both"/>
        <w:rPr>
          <w:color w:val="auto"/>
          <w:sz w:val="28"/>
          <w:szCs w:val="28"/>
        </w:rPr>
      </w:pPr>
      <w:proofErr w:type="gramStart"/>
      <w:r w:rsidRPr="0035428D">
        <w:rPr>
          <w:color w:val="auto"/>
          <w:sz w:val="28"/>
          <w:szCs w:val="28"/>
        </w:rPr>
        <w:t>В соответствии с главой 32 части второй Налогового кодекса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04 октября 2014 года № 284-ФЗ «О внесении изменений в статьи 12 и 85 части первой и часть вторую Налогового кодекса и признании утратившими силу Закона Российской Федерации «О налогах на имущество</w:t>
      </w:r>
      <w:proofErr w:type="gramEnd"/>
      <w:r w:rsidRPr="0035428D">
        <w:rPr>
          <w:color w:val="auto"/>
          <w:sz w:val="28"/>
          <w:szCs w:val="28"/>
        </w:rPr>
        <w:t xml:space="preserve"> физических лиц», Законом Кировской области от 24.09.2015 № 564-ЗО «Об установлении единой даты начала применения на территории Кировской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муниципального образования </w:t>
      </w:r>
      <w:proofErr w:type="gramStart"/>
      <w:r w:rsidRPr="0035428D">
        <w:rPr>
          <w:color w:val="auto"/>
          <w:sz w:val="28"/>
          <w:szCs w:val="28"/>
        </w:rPr>
        <w:t>–м</w:t>
      </w:r>
      <w:proofErr w:type="gramEnd"/>
      <w:r w:rsidRPr="0035428D">
        <w:rPr>
          <w:color w:val="auto"/>
          <w:sz w:val="28"/>
          <w:szCs w:val="28"/>
        </w:rPr>
        <w:t xml:space="preserve">униципального казенного учреждения администрация Аджимского сельского  поселения Малмыжского района Кировской области, Аджимская сельская Дума </w:t>
      </w:r>
      <w:r w:rsidRPr="0035428D">
        <w:rPr>
          <w:i/>
          <w:color w:val="auto"/>
          <w:sz w:val="28"/>
          <w:szCs w:val="28"/>
        </w:rPr>
        <w:t xml:space="preserve">  </w:t>
      </w:r>
      <w:r w:rsidRPr="0035428D">
        <w:rPr>
          <w:color w:val="auto"/>
          <w:sz w:val="28"/>
          <w:szCs w:val="28"/>
        </w:rPr>
        <w:t>РЕШИЛА: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Установить и ввести в действие с 1 января 2016 года на территории муниципального образования муниципального казенного учреждения администрация Аджимского сельского  поселения Малмыжского района Кировской области  налог на имущество физических лиц (далее – налог).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Установить, что налоговая база по налогу в отношении объектов налогообложения определяется исходя из их кадастровой стоимости.   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lastRenderedPageBreak/>
        <w:t>Установить ставки налога исходя из кадастровой стоимости объекта налогообложения в следующих размерах:</w:t>
      </w:r>
    </w:p>
    <w:p w:rsidR="0035428D" w:rsidRPr="0035428D" w:rsidRDefault="0035428D" w:rsidP="0035428D">
      <w:pPr>
        <w:numPr>
          <w:ilvl w:val="0"/>
          <w:numId w:val="2"/>
        </w:numPr>
        <w:tabs>
          <w:tab w:val="left" w:pos="1134"/>
        </w:tabs>
        <w:spacing w:after="0"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0,3процента в отношении: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а)   жилых домов, жилых помещений;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б) объектов незавершенного строительства в случае, если проектируемым назначением таких объектов является жилой дом;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в)  единых недвижимых комплексов, в состав которых входит хотя бы одно жилое помещение (жилой дом);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г) гаражей и машино-мест;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д)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2)  1,0процента в отношении: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а) 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б)  объектов налогообложения, предусмотренных абзацем вторым пункта 10 статьи 378.2  Налогового кодекса Российской Федерации;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>3) 2,0 процента в отношении объектов налогообложения, кадастровая стоимость каждого из которых превышает 300 миллионов рублей;</w:t>
      </w:r>
    </w:p>
    <w:p w:rsidR="0035428D" w:rsidRPr="0035428D" w:rsidRDefault="0035428D" w:rsidP="0035428D">
      <w:pPr>
        <w:pStyle w:val="ConsPlusNormal"/>
        <w:spacing w:line="300" w:lineRule="exact"/>
        <w:ind w:firstLine="709"/>
        <w:jc w:val="both"/>
      </w:pPr>
      <w:r w:rsidRPr="0035428D">
        <w:t xml:space="preserve">4) 0,5 процента в отношении прочих объектов налогообложения.   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Установить, что кроме категорий налогоплательщиков, которым налоговые льготы установлены статьей 407 Налогового кодекса Российской Федерации, право на налоговую льготу имеют следующие категории налогоплательщиков: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4.1.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4.2.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4.3. и т.д.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Установить следующие основания применения налоговых льгот, предусмотренных пунктом 4 настоящего решения: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5.1.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5.2.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 </w:t>
      </w:r>
      <w:r w:rsidRPr="0035428D">
        <w:rPr>
          <w:rFonts w:ascii="Times New Roman" w:hAnsi="Times New Roman" w:cs="Times New Roman"/>
          <w:sz w:val="28"/>
          <w:szCs w:val="28"/>
        </w:rPr>
        <w:tab/>
        <w:t>6.Установить следующий порядок применения налоговых льгот, предусмотренных пунктом 4 настоящего решения:</w:t>
      </w:r>
    </w:p>
    <w:p w:rsidR="0035428D" w:rsidRPr="0035428D" w:rsidRDefault="0035428D" w:rsidP="0035428D">
      <w:pPr>
        <w:numPr>
          <w:ilvl w:val="1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налоговая льгота предоставляется в виде полного или частичного освобождения от уплаты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деятельности; </w:t>
      </w:r>
    </w:p>
    <w:p w:rsidR="0035428D" w:rsidRPr="0035428D" w:rsidRDefault="0035428D" w:rsidP="0035428D">
      <w:pPr>
        <w:numPr>
          <w:ilvl w:val="1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при определении подлежащей уплате налогоплательщиком суммы налога налоговая льгота предоставляется </w:t>
      </w:r>
      <w:proofErr w:type="gramStart"/>
      <w:r w:rsidRPr="0035428D">
        <w:rPr>
          <w:rFonts w:ascii="Times New Roman" w:hAnsi="Times New Roman" w:cs="Times New Roman"/>
          <w:sz w:val="28"/>
          <w:szCs w:val="28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35428D">
        <w:rPr>
          <w:rFonts w:ascii="Times New Roman" w:hAnsi="Times New Roman" w:cs="Times New Roman"/>
          <w:sz w:val="28"/>
          <w:szCs w:val="28"/>
        </w:rPr>
        <w:t xml:space="preserve"> налоговых льгот;</w:t>
      </w:r>
    </w:p>
    <w:p w:rsidR="0035428D" w:rsidRPr="0035428D" w:rsidRDefault="0035428D" w:rsidP="0035428D">
      <w:pPr>
        <w:numPr>
          <w:ilvl w:val="1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lastRenderedPageBreak/>
        <w:t>налоговая льгота предоставляется в отношении следующих видов объектов налогообложения: квартира или комната; жилой дом; помещение или сооружение, указанные в подпункте 14 пункта 1 статьи 407 Налогового Кодекса Российской Федерации; хозяйственное строение или сооружение, указанные в подпункте 15 пункта 1 статьи 407 Налогового кодекса Российской Федерации; гараж или машино-место;</w:t>
      </w:r>
    </w:p>
    <w:p w:rsidR="0035428D" w:rsidRPr="0035428D" w:rsidRDefault="0035428D" w:rsidP="0035428D">
      <w:pPr>
        <w:numPr>
          <w:ilvl w:val="1"/>
          <w:numId w:val="1"/>
        </w:numPr>
        <w:tabs>
          <w:tab w:val="left" w:pos="1134"/>
        </w:tabs>
        <w:spacing w:after="0" w:line="300" w:lineRule="exact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 xml:space="preserve"> лицо, имеющее право на налоговую льготу, представляет заявление о предоставлении льготы и документы, подтверждающие право налогоплательщика на налоговую льготу, в налоговый орган.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Признать утратившим силу решение Аджимской сельской Думы  № 40 от 21.11.2014 « Об  установлении налога на имущество физических лиц».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2016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428D">
        <w:rPr>
          <w:rFonts w:ascii="Times New Roman" w:hAnsi="Times New Roman" w:cs="Times New Roman"/>
          <w:sz w:val="28"/>
          <w:szCs w:val="28"/>
        </w:rPr>
        <w:t xml:space="preserve">Права и обязанности участников отношений, регулируемых законодательством Российской Федерации о налогах и сборах, возникшие в налоговом периоде 2015 года по налогу на имущество физических лиц, осуществляются в порядке, установленном Налоговым кодексом Российской Федерации с учетом положений решения Аджимской сельской Думы  № 40 от 21.11.2014 « Об  установлении налога на имущество физических лиц, действующего до дня вступления в силу настоящего решения.      </w:t>
      </w:r>
      <w:proofErr w:type="gramEnd"/>
    </w:p>
    <w:p w:rsidR="0035428D" w:rsidRPr="0035428D" w:rsidRDefault="0035428D" w:rsidP="0035428D">
      <w:pPr>
        <w:numPr>
          <w:ilvl w:val="0"/>
          <w:numId w:val="1"/>
        </w:numPr>
        <w:tabs>
          <w:tab w:val="left" w:pos="1134"/>
        </w:tabs>
        <w:spacing w:after="0"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Аджимского  сельского поселения Малмыжского района Кировской области.</w:t>
      </w:r>
    </w:p>
    <w:p w:rsidR="0035428D" w:rsidRPr="0035428D" w:rsidRDefault="0035428D" w:rsidP="0035428D">
      <w:pPr>
        <w:tabs>
          <w:tab w:val="left" w:pos="1134"/>
        </w:tabs>
        <w:spacing w:line="30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5428D">
        <w:rPr>
          <w:rFonts w:ascii="Times New Roman" w:hAnsi="Times New Roman" w:cs="Times New Roman"/>
          <w:sz w:val="28"/>
          <w:szCs w:val="28"/>
        </w:rPr>
        <w:t>Глава сельского поселения     Р.М. Хайрутдинова</w:t>
      </w:r>
    </w:p>
    <w:p w:rsidR="0035428D" w:rsidRPr="0035428D" w:rsidRDefault="0035428D" w:rsidP="0035428D">
      <w:pPr>
        <w:spacing w:line="30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02702" w:rsidRDefault="00602702"/>
    <w:sectPr w:rsidR="00602702" w:rsidSect="007C6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28D"/>
    <w:rsid w:val="0035428D"/>
    <w:rsid w:val="00602702"/>
    <w:rsid w:val="007C6843"/>
    <w:rsid w:val="007D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4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5428D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5428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Body Text Indent"/>
    <w:basedOn w:val="a"/>
    <w:link w:val="a4"/>
    <w:semiHidden/>
    <w:unhideWhenUsed/>
    <w:rsid w:val="0035428D"/>
    <w:pPr>
      <w:spacing w:after="0" w:line="240" w:lineRule="auto"/>
      <w:ind w:firstLine="708"/>
    </w:pPr>
    <w:rPr>
      <w:rFonts w:ascii="Times New Roman" w:eastAsia="Times New Roman" w:hAnsi="Times New Roman" w:cs="Times New Roman"/>
      <w:color w:val="333399"/>
      <w:sz w:val="20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5428D"/>
    <w:rPr>
      <w:rFonts w:ascii="Times New Roman" w:eastAsia="Times New Roman" w:hAnsi="Times New Roman" w:cs="Times New Roman"/>
      <w:color w:val="333399"/>
      <w:sz w:val="20"/>
      <w:szCs w:val="24"/>
    </w:rPr>
  </w:style>
  <w:style w:type="paragraph" w:customStyle="1" w:styleId="ConsTitle">
    <w:name w:val="ConsTitle"/>
    <w:rsid w:val="0035428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3542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1371</Words>
  <Characters>7818</Characters>
  <Application>Microsoft Office Word</Application>
  <DocSecurity>0</DocSecurity>
  <Lines>65</Lines>
  <Paragraphs>18</Paragraphs>
  <ScaleCrop>false</ScaleCrop>
  <Company>Microsoft</Company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2015-12-10T15:16:00Z</cp:lastPrinted>
  <dcterms:created xsi:type="dcterms:W3CDTF">2015-12-10T14:59:00Z</dcterms:created>
  <dcterms:modified xsi:type="dcterms:W3CDTF">2015-12-10T15:17:00Z</dcterms:modified>
</cp:coreProperties>
</file>