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E8" w:rsidRDefault="00766FE8" w:rsidP="00766FE8">
      <w:pPr>
        <w:jc w:val="center"/>
        <w:rPr>
          <w:b/>
          <w:sz w:val="28"/>
          <w:szCs w:val="28"/>
        </w:rPr>
      </w:pPr>
      <w:r>
        <w:tab/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766FE8" w:rsidRDefault="00766FE8" w:rsidP="00766FE8">
      <w:pPr>
        <w:jc w:val="center"/>
        <w:rPr>
          <w:b/>
          <w:sz w:val="28"/>
          <w:szCs w:val="28"/>
        </w:rPr>
      </w:pPr>
    </w:p>
    <w:p w:rsidR="00766FE8" w:rsidRDefault="00766FE8" w:rsidP="0076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66FE8" w:rsidRDefault="00766FE8" w:rsidP="00766FE8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66FE8" w:rsidRPr="00E14CB9" w:rsidRDefault="00766FE8" w:rsidP="00766FE8">
      <w:pPr>
        <w:spacing w:line="360" w:lineRule="auto"/>
        <w:rPr>
          <w:sz w:val="28"/>
          <w:szCs w:val="28"/>
        </w:rPr>
      </w:pPr>
      <w:r w:rsidRPr="00E14CB9">
        <w:rPr>
          <w:sz w:val="28"/>
          <w:szCs w:val="28"/>
        </w:rPr>
        <w:t xml:space="preserve">26.01.2018                                                                                                          №   3  </w:t>
      </w:r>
    </w:p>
    <w:p w:rsidR="00766FE8" w:rsidRDefault="00766FE8" w:rsidP="00766FE8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66FE8" w:rsidRDefault="00766FE8" w:rsidP="00766FE8">
      <w:pPr>
        <w:tabs>
          <w:tab w:val="left" w:pos="1200"/>
        </w:tabs>
        <w:rPr>
          <w:color w:val="FF0000"/>
          <w:sz w:val="28"/>
          <w:szCs w:val="28"/>
        </w:rPr>
      </w:pPr>
    </w:p>
    <w:p w:rsidR="00766FE8" w:rsidRDefault="00766FE8" w:rsidP="0076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>
        <w:rPr>
          <w:b/>
          <w:sz w:val="28"/>
          <w:szCs w:val="28"/>
        </w:rPr>
        <w:t>Староирюкской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сельской</w:t>
      </w:r>
      <w:proofErr w:type="gramEnd"/>
      <w:r>
        <w:rPr>
          <w:b/>
          <w:sz w:val="28"/>
          <w:szCs w:val="28"/>
        </w:rPr>
        <w:t xml:space="preserve"> </w:t>
      </w:r>
    </w:p>
    <w:p w:rsidR="00766FE8" w:rsidRDefault="00766FE8" w:rsidP="00766FE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Думы от 30.11.2017 № 23   </w:t>
      </w:r>
    </w:p>
    <w:p w:rsidR="00766FE8" w:rsidRDefault="00766FE8" w:rsidP="00766FE8">
      <w:pPr>
        <w:tabs>
          <w:tab w:val="left" w:pos="1724"/>
        </w:tabs>
      </w:pPr>
    </w:p>
    <w:p w:rsidR="00766FE8" w:rsidRDefault="00766FE8" w:rsidP="00766FE8"/>
    <w:p w:rsidR="00766FE8" w:rsidRDefault="00766FE8" w:rsidP="00766FE8"/>
    <w:p w:rsidR="00766FE8" w:rsidRDefault="00766FE8" w:rsidP="00766FE8"/>
    <w:p w:rsidR="00766FE8" w:rsidRDefault="00766FE8" w:rsidP="00766FE8">
      <w:p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соответствии  с  Федеральном  Законом  от  06.10 2003 № 131-Ф3 «Об общих принципах  организации местного самоуправления 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r>
        <w:rPr>
          <w:sz w:val="32"/>
          <w:szCs w:val="32"/>
        </w:rPr>
        <w:t xml:space="preserve">РЕШИЛА: </w:t>
      </w:r>
      <w:proofErr w:type="gramEnd"/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30.11.2017 № 23 «Об утверждении положения о статусе депутата, члена выборного органа местного самоуправления, выборного должностного лица местного самоуправления» изменения согласно приложению.</w:t>
      </w:r>
    </w:p>
    <w:p w:rsidR="00766FE8" w:rsidRDefault="00766FE8" w:rsidP="00766FE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766FE8" w:rsidRDefault="00766FE8" w:rsidP="00766F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766FE8" w:rsidRDefault="00766FE8" w:rsidP="00766FE8">
      <w:pPr>
        <w:tabs>
          <w:tab w:val="left" w:pos="5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А.Г.Халиуллина</w:t>
      </w:r>
      <w:proofErr w:type="spellEnd"/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center"/>
        <w:rPr>
          <w:sz w:val="28"/>
          <w:szCs w:val="28"/>
        </w:rPr>
      </w:pPr>
    </w:p>
    <w:p w:rsidR="00766FE8" w:rsidRDefault="00766FE8" w:rsidP="00766FE8">
      <w:pPr>
        <w:jc w:val="center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</w:rPr>
      </w:pPr>
    </w:p>
    <w:p w:rsidR="00766FE8" w:rsidRDefault="00766FE8" w:rsidP="00766FE8">
      <w:pPr>
        <w:jc w:val="both"/>
        <w:rPr>
          <w:sz w:val="28"/>
        </w:rPr>
      </w:pPr>
    </w:p>
    <w:p w:rsidR="00766FE8" w:rsidRDefault="00766FE8" w:rsidP="00766FE8">
      <w:pPr>
        <w:tabs>
          <w:tab w:val="left" w:pos="3390"/>
          <w:tab w:val="left" w:pos="6379"/>
        </w:tabs>
        <w:jc w:val="both"/>
        <w:rPr>
          <w:sz w:val="28"/>
        </w:rPr>
      </w:pPr>
    </w:p>
    <w:p w:rsidR="00766FE8" w:rsidRDefault="00766FE8" w:rsidP="00766FE8">
      <w:pPr>
        <w:tabs>
          <w:tab w:val="left" w:pos="3390"/>
          <w:tab w:val="left" w:pos="6855"/>
        </w:tabs>
        <w:jc w:val="both"/>
        <w:rPr>
          <w:sz w:val="28"/>
        </w:rPr>
      </w:pPr>
    </w:p>
    <w:p w:rsidR="00766FE8" w:rsidRDefault="00766FE8" w:rsidP="00766FE8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>
        <w:rPr>
          <w:sz w:val="28"/>
        </w:rPr>
        <w:t xml:space="preserve">Разослать:  администрации   – 1, в регистр – 1 = 2 </w:t>
      </w:r>
    </w:p>
    <w:p w:rsidR="00766FE8" w:rsidRDefault="00766FE8" w:rsidP="00766FE8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tbl>
      <w:tblPr>
        <w:tblW w:w="3812" w:type="dxa"/>
        <w:tblInd w:w="6345" w:type="dxa"/>
        <w:tblLook w:val="04A0"/>
      </w:tblPr>
      <w:tblGrid>
        <w:gridCol w:w="3812"/>
      </w:tblGrid>
      <w:tr w:rsidR="00766FE8" w:rsidTr="00766FE8">
        <w:trPr>
          <w:trHeight w:val="2355"/>
        </w:trPr>
        <w:tc>
          <w:tcPr>
            <w:tcW w:w="3812" w:type="dxa"/>
          </w:tcPr>
          <w:p w:rsidR="00766FE8" w:rsidRDefault="00766FE8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</w:pPr>
            <w:r>
              <w:t>Приложение</w:t>
            </w:r>
          </w:p>
          <w:p w:rsidR="00766FE8" w:rsidRDefault="00766FE8">
            <w:pPr>
              <w:pStyle w:val="ConsPlusTitle"/>
              <w:spacing w:line="276" w:lineRule="auto"/>
              <w:rPr>
                <w:b w:val="0"/>
                <w:bCs w:val="0"/>
                <w:sz w:val="28"/>
              </w:rPr>
            </w:pPr>
          </w:p>
          <w:p w:rsidR="00766FE8" w:rsidRDefault="00766FE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УТВЕРЖДЕНЫ</w:t>
            </w:r>
          </w:p>
          <w:p w:rsidR="00766FE8" w:rsidRDefault="00766FE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766FE8" w:rsidRDefault="00766FE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b w:val="0"/>
                <w:sz w:val="28"/>
                <w:szCs w:val="28"/>
              </w:rPr>
              <w:t>Староирюкской</w:t>
            </w:r>
            <w:proofErr w:type="spellEnd"/>
          </w:p>
          <w:p w:rsidR="00766FE8" w:rsidRDefault="00766FE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сельской Думы</w:t>
            </w:r>
          </w:p>
          <w:p w:rsidR="00766FE8" w:rsidRDefault="00766FE8">
            <w:pPr>
              <w:pStyle w:val="ConsPlusTitle"/>
              <w:tabs>
                <w:tab w:val="left" w:pos="6501"/>
              </w:tabs>
              <w:spacing w:line="276" w:lineRule="auto"/>
            </w:pPr>
            <w:r>
              <w:rPr>
                <w:b w:val="0"/>
                <w:sz w:val="28"/>
                <w:szCs w:val="28"/>
              </w:rPr>
              <w:t>от 26.01.2018   № 3</w:t>
            </w:r>
          </w:p>
        </w:tc>
      </w:tr>
    </w:tbl>
    <w:p w:rsidR="00766FE8" w:rsidRDefault="00766FE8" w:rsidP="00766FE8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6FE8" w:rsidRDefault="00766FE8" w:rsidP="00766FE8">
      <w:pPr>
        <w:pStyle w:val="ConsPlusTitle"/>
        <w:widowControl/>
        <w:jc w:val="center"/>
      </w:pPr>
    </w:p>
    <w:p w:rsidR="00766FE8" w:rsidRDefault="00766FE8" w:rsidP="00766FE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766FE8" w:rsidRDefault="00766FE8" w:rsidP="0076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Положении о статусе депутата, члена выборного органа местного самоуправления, выборного должностного лица местного самоуправления</w:t>
      </w: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ind w:firstLine="708"/>
      </w:pPr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1.1. Пункт 3 статьи 9 главы  2 Положения  изложить в новой редакции следующего содержания:</w:t>
      </w:r>
    </w:p>
    <w:p w:rsidR="00766FE8" w:rsidRDefault="00766FE8" w:rsidP="00766FE8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t xml:space="preserve">« 3.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в порядке, установленном нормативными правовыми актами Российской Федерации.</w:t>
      </w:r>
      <w:proofErr w:type="gramEnd"/>
    </w:p>
    <w:p w:rsidR="00766FE8" w:rsidRDefault="00766FE8" w:rsidP="00766F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</w:t>
      </w:r>
      <w:proofErr w:type="gramStart"/>
      <w:r>
        <w:rPr>
          <w:rFonts w:eastAsia="Calibri"/>
          <w:bCs/>
          <w:sz w:val="28"/>
          <w:szCs w:val="28"/>
          <w:lang w:eastAsia="en-US"/>
        </w:rPr>
        <w:t>1)  Граждане, претендующие на замещение муниципальной должности, и лица, замещающие муниципальные должности, обязаны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,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  <w:proofErr w:type="gramEnd"/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lastRenderedPageBreak/>
        <w:t>2)  Граждане, претендующие на замещение муниципальной должности, и лица, замещающие муниципальные должности, сведения о доходах, расходах, об имуществе и обязательствах имущественного характера представляют Губернатору Кировской области путем направления данных сведений в орган по профилактике коррупционных и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иных правонарушений, определяемый Губернатором Кировской области.</w:t>
      </w:r>
      <w:proofErr w:type="gramEnd"/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3) Сведения о доходах, расходах, об имуществе и обязательствах имущественного характера представляются по утвержденной Губернатором Кировской области форме справки, заполняемой с использованием специального программного обеспечения.</w:t>
      </w:r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4) Граждане, претендующие на замещение муниципальных должностей, представляют сведения о доходах, расходах, об имуществе и обязательствах имущественного характера при назначении (избрании) на должность.</w:t>
      </w:r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5) Граждане, замещающие муниципальные должности, представляют сведения о доходах, расходах, об имуществе и обязательствах имущественного характера ежегодно, не позднее 1 апреля года, следующего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за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отчетным.</w:t>
      </w:r>
    </w:p>
    <w:p w:rsidR="00766FE8" w:rsidRDefault="00766FE8" w:rsidP="00766FE8">
      <w:pPr>
        <w:spacing w:line="276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 проверка достоверности и полноты сведений о доходах, расходах, об имуществе и </w:t>
      </w:r>
      <w:proofErr w:type="gramStart"/>
      <w:r>
        <w:rPr>
          <w:sz w:val="28"/>
          <w:szCs w:val="28"/>
        </w:rPr>
        <w:t>обязательствах имущественного характера, представляемых в соответствии с законодательством Российской Федерации о противодействии коррупции  проводится</w:t>
      </w:r>
      <w:proofErr w:type="gramEnd"/>
      <w:r>
        <w:rPr>
          <w:sz w:val="28"/>
          <w:szCs w:val="28"/>
        </w:rPr>
        <w:t xml:space="preserve">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766FE8" w:rsidRDefault="00766FE8" w:rsidP="00766FE8">
      <w:pPr>
        <w:spacing w:line="276" w:lineRule="auto"/>
        <w:ind w:firstLine="5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 при выявлении в результате проверки, проведенной в соответствии с частью 3.1  Положения,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депутата</w:t>
      </w:r>
      <w:proofErr w:type="gramEnd"/>
      <w:r>
        <w:rPr>
          <w:sz w:val="28"/>
          <w:szCs w:val="28"/>
        </w:rPr>
        <w:t xml:space="preserve">, члена выборного органа местного самоуправления, выборного </w:t>
      </w:r>
      <w:r>
        <w:rPr>
          <w:sz w:val="28"/>
          <w:szCs w:val="28"/>
        </w:rPr>
        <w:lastRenderedPageBreak/>
        <w:t>должностного лица местного самоуправления в орган местного самоуправления, уполномоченный принимать соответствующее решение, или в суд.</w:t>
      </w:r>
    </w:p>
    <w:p w:rsidR="00766FE8" w:rsidRDefault="00766FE8" w:rsidP="00766F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8)  Копии сведений о доходах, расходах, об имуществе и обязательствах имущественного характера, представляемых лицами, замещающими муниципальные должности, представляются в организационный отдел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Малмыжского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района в целях размещения данных сведений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r>
        <w:rPr>
          <w:rFonts w:eastAsia="Calibri"/>
          <w:bCs/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r>
        <w:rPr>
          <w:sz w:val="28"/>
          <w:szCs w:val="28"/>
        </w:rPr>
        <w:t>и (или)</w:t>
      </w:r>
      <w:r>
        <w:rPr>
          <w:rFonts w:eastAsia="Calibri"/>
          <w:bCs/>
          <w:sz w:val="28"/>
          <w:szCs w:val="28"/>
          <w:lang w:eastAsia="en-US"/>
        </w:rPr>
        <w:t xml:space="preserve"> представления средствам массовой информации для опубликования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766FE8" w:rsidRDefault="00766FE8" w:rsidP="00766FE8">
      <w:pPr>
        <w:spacing w:line="312" w:lineRule="auto"/>
        <w:ind w:firstLine="547"/>
        <w:jc w:val="both"/>
        <w:rPr>
          <w:sz w:val="28"/>
          <w:szCs w:val="28"/>
        </w:rPr>
      </w:pPr>
    </w:p>
    <w:p w:rsidR="00766FE8" w:rsidRDefault="00766FE8" w:rsidP="00766FE8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______________</w:t>
      </w: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sectPr w:rsidR="00766FE8" w:rsidSect="0061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FE8"/>
    <w:rsid w:val="005F3733"/>
    <w:rsid w:val="006119C8"/>
    <w:rsid w:val="00766FE8"/>
    <w:rsid w:val="008325FB"/>
    <w:rsid w:val="00E14CB9"/>
    <w:rsid w:val="00E3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66FE8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766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766FE8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66F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66F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66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iffins">
    <w:name w:val="diff_ins"/>
    <w:basedOn w:val="a0"/>
    <w:rsid w:val="00766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6098</Characters>
  <Application>Microsoft Office Word</Application>
  <DocSecurity>0</DocSecurity>
  <Lines>50</Lines>
  <Paragraphs>14</Paragraphs>
  <ScaleCrop>false</ScaleCrop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2018-02-21T12:07:00Z</dcterms:created>
  <dcterms:modified xsi:type="dcterms:W3CDTF">2018-02-21T12:14:00Z</dcterms:modified>
</cp:coreProperties>
</file>