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B4" w:rsidRPr="00D5246A" w:rsidRDefault="002D4CB4" w:rsidP="00D5246A">
      <w:pPr>
        <w:pStyle w:val="a4"/>
      </w:pPr>
      <w:r>
        <w:t xml:space="preserve">АДМИНИСТРАЦИЯ </w:t>
      </w:r>
      <w:r w:rsidR="00D5246A">
        <w:t>СТАРОТУШКИН</w:t>
      </w:r>
      <w:r>
        <w:t>СКОГО СЕЛЬСКОГО ПОСЕЛЕНИЯ МАЛМЫЖСКОГО РАЙОНА</w:t>
      </w:r>
      <w:r w:rsidR="00D5246A">
        <w:t xml:space="preserve"> </w:t>
      </w:r>
      <w:r>
        <w:rPr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D4CB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E56638">
        <w:rPr>
          <w:b/>
          <w:bCs/>
          <w:sz w:val="32"/>
          <w:szCs w:val="32"/>
        </w:rPr>
        <w:t xml:space="preserve">                          </w:t>
      </w:r>
    </w:p>
    <w:p w:rsidR="002D4CB4" w:rsidRDefault="002D4CB4" w:rsidP="002D4CB4">
      <w:pPr>
        <w:jc w:val="both"/>
        <w:rPr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D4CB4" w:rsidRDefault="002D4CB4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                                                                                           № ___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5246A">
        <w:rPr>
          <w:sz w:val="28"/>
          <w:szCs w:val="28"/>
        </w:rPr>
        <w:t xml:space="preserve">                    </w:t>
      </w:r>
      <w:proofErr w:type="gramStart"/>
      <w:r w:rsidR="00D5246A">
        <w:rPr>
          <w:sz w:val="28"/>
          <w:szCs w:val="28"/>
        </w:rPr>
        <w:t>с</w:t>
      </w:r>
      <w:proofErr w:type="gramEnd"/>
      <w:r w:rsidR="00D5246A">
        <w:rPr>
          <w:sz w:val="28"/>
          <w:szCs w:val="28"/>
        </w:rPr>
        <w:t>. Старая Тушка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ского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поселения,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Default="002D4CB4" w:rsidP="002D4CB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r w:rsidR="00D5246A">
        <w:rPr>
          <w:color w:val="000000"/>
          <w:sz w:val="28"/>
          <w:szCs w:val="28"/>
        </w:rPr>
        <w:t>Старотушкинского</w:t>
      </w:r>
      <w:r w:rsidR="00D5246A">
        <w:rPr>
          <w:sz w:val="28"/>
          <w:szCs w:val="28"/>
        </w:rPr>
        <w:t xml:space="preserve"> сельского поселения  от 01</w:t>
      </w:r>
      <w:r>
        <w:rPr>
          <w:sz w:val="28"/>
          <w:szCs w:val="28"/>
        </w:rPr>
        <w:t xml:space="preserve">.04.2012 № </w:t>
      </w:r>
      <w:r w:rsidR="00D5246A">
        <w:rPr>
          <w:sz w:val="28"/>
          <w:szCs w:val="28"/>
        </w:rPr>
        <w:t>17</w:t>
      </w:r>
      <w:r>
        <w:rPr>
          <w:sz w:val="28"/>
          <w:szCs w:val="28"/>
        </w:rPr>
        <w:t xml:space="preserve"> «Об утверждении   Реестра  муниципальных услуг, предоставляемых  органами    местного  самоуправления   муниципального образования </w:t>
      </w:r>
      <w:r w:rsidR="00D5246A"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 сельское  поселение Малмыжского района Кировской области» </w:t>
      </w:r>
      <w:r>
        <w:rPr>
          <w:color w:val="000000"/>
          <w:sz w:val="28"/>
          <w:szCs w:val="28"/>
        </w:rPr>
        <w:t>ПОСТАНОВЛЯЕТ: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аннулировании его адреса» согласно приложению.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2. Постановление  администрации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</w:p>
    <w:p w:rsidR="002D4CB4" w:rsidRDefault="00D5246A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№ 40 от 0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2.0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</w:t>
      </w:r>
      <w:r w:rsidR="00F974FC" w:rsidRPr="00F974FC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 w:rsidR="002D4CB4" w:rsidRPr="00F974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поселения» считать утратившим силу.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r w:rsidR="006672A6">
        <w:rPr>
          <w:color w:val="000000"/>
          <w:sz w:val="28"/>
          <w:szCs w:val="28"/>
        </w:rPr>
        <w:t>Старотушкин</w:t>
      </w:r>
      <w:r w:rsidR="006672A6">
        <w:rPr>
          <w:color w:val="000000"/>
          <w:sz w:val="28"/>
          <w:szCs w:val="28"/>
        </w:rPr>
        <w:t>ское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после его официального опубликования.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специалиста по общим и  правовым вопросам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D4CB4" w:rsidRDefault="006672A6" w:rsidP="002D4CB4">
      <w:pPr>
        <w:rPr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  <w:r w:rsidR="002D4CB4">
        <w:rPr>
          <w:sz w:val="28"/>
          <w:szCs w:val="28"/>
        </w:rPr>
        <w:t xml:space="preserve"> сельского поселения       </w:t>
      </w:r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  <w:r w:rsidR="002D4CB4">
        <w:rPr>
          <w:sz w:val="28"/>
          <w:szCs w:val="28"/>
        </w:rPr>
        <w:t xml:space="preserve">                  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jc w:val="both"/>
        <w:rPr>
          <w:rFonts w:ascii="Calibri" w:hAnsi="Calibri" w:cs="Calibri"/>
          <w:sz w:val="28"/>
          <w:szCs w:val="28"/>
        </w:rPr>
      </w:pPr>
    </w:p>
    <w:p w:rsidR="002D4CB4" w:rsidRDefault="002D4CB4" w:rsidP="002D4CB4">
      <w:pPr>
        <w:ind w:firstLine="5103"/>
        <w:jc w:val="both"/>
        <w:rPr>
          <w:sz w:val="28"/>
          <w:szCs w:val="28"/>
        </w:rPr>
      </w:pP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постановлением администрации </w:t>
      </w:r>
    </w:p>
    <w:p w:rsidR="002D4CB4" w:rsidRDefault="006672A6" w:rsidP="002D4CB4">
      <w:pPr>
        <w:ind w:firstLine="510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</w:t>
      </w:r>
      <w:r w:rsidR="002D4CB4">
        <w:rPr>
          <w:sz w:val="28"/>
          <w:szCs w:val="28"/>
        </w:rPr>
        <w:t>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Старотушкинского</w:t>
      </w:r>
      <w:r w:rsidR="00D524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</w:t>
      </w:r>
      <w:r w:rsidR="006672A6">
        <w:rPr>
          <w:color w:val="000000"/>
          <w:sz w:val="28"/>
          <w:szCs w:val="28"/>
        </w:rPr>
        <w:t>ское</w:t>
      </w:r>
      <w:r>
        <w:rPr>
          <w:sz w:val="28"/>
          <w:szCs w:val="28"/>
        </w:rPr>
        <w:t xml:space="preserve">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7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</w:t>
      </w:r>
      <w:r>
        <w:rPr>
          <w:sz w:val="28"/>
          <w:szCs w:val="28"/>
        </w:rPr>
        <w:lastRenderedPageBreak/>
        <w:t>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</w:t>
      </w:r>
      <w:r>
        <w:rPr>
          <w:sz w:val="28"/>
          <w:szCs w:val="28"/>
        </w:rPr>
        <w:lastRenderedPageBreak/>
        <w:t>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Кировская область</w:t>
      </w:r>
      <w:r w:rsidR="006672A6">
        <w:rPr>
          <w:sz w:val="28"/>
          <w:szCs w:val="28"/>
        </w:rPr>
        <w:t xml:space="preserve">, </w:t>
      </w:r>
      <w:proofErr w:type="spellStart"/>
      <w:r w:rsidR="006672A6">
        <w:rPr>
          <w:sz w:val="28"/>
          <w:szCs w:val="28"/>
        </w:rPr>
        <w:t>Малмыжский</w:t>
      </w:r>
      <w:proofErr w:type="spellEnd"/>
      <w:r w:rsidR="006672A6">
        <w:rPr>
          <w:sz w:val="28"/>
          <w:szCs w:val="28"/>
        </w:rPr>
        <w:t xml:space="preserve"> район, </w:t>
      </w:r>
      <w:proofErr w:type="spellStart"/>
      <w:r w:rsidR="006672A6">
        <w:rPr>
          <w:sz w:val="28"/>
          <w:szCs w:val="28"/>
        </w:rPr>
        <w:t>с</w:t>
      </w:r>
      <w:proofErr w:type="gramStart"/>
      <w:r w:rsidR="006672A6">
        <w:rPr>
          <w:sz w:val="28"/>
          <w:szCs w:val="28"/>
        </w:rPr>
        <w:t>.С</w:t>
      </w:r>
      <w:proofErr w:type="gramEnd"/>
      <w:r w:rsidR="006672A6">
        <w:rPr>
          <w:sz w:val="28"/>
          <w:szCs w:val="28"/>
        </w:rPr>
        <w:t>тарая</w:t>
      </w:r>
      <w:proofErr w:type="spellEnd"/>
      <w:r w:rsidR="006672A6">
        <w:rPr>
          <w:sz w:val="28"/>
          <w:szCs w:val="28"/>
        </w:rPr>
        <w:t xml:space="preserve"> Тушка, улица  Набережная,  дом  18</w:t>
      </w:r>
      <w:r>
        <w:rPr>
          <w:sz w:val="28"/>
          <w:szCs w:val="28"/>
        </w:rPr>
        <w:t>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612944</w:t>
      </w:r>
      <w:r w:rsidR="002D4CB4">
        <w:rPr>
          <w:sz w:val="28"/>
          <w:szCs w:val="28"/>
        </w:rPr>
        <w:t>, Кировская обла</w:t>
      </w:r>
      <w:r>
        <w:rPr>
          <w:sz w:val="28"/>
          <w:szCs w:val="28"/>
        </w:rPr>
        <w:t xml:space="preserve">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Тушка, улица Набережная,  дом 18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6-71-89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proofErr w:type="gramStart"/>
      <w:r>
        <w:rPr>
          <w:sz w:val="28"/>
          <w:szCs w:val="28"/>
        </w:rPr>
        <w:t>а</w:t>
      </w:r>
      <w:proofErr w:type="spellStart"/>
      <w:proofErr w:type="gramEnd"/>
      <w:r w:rsidR="006672A6">
        <w:rPr>
          <w:sz w:val="28"/>
          <w:szCs w:val="28"/>
          <w:lang w:val="en-US"/>
        </w:rPr>
        <w:t>dm</w:t>
      </w:r>
      <w:proofErr w:type="spellEnd"/>
      <w:r w:rsidR="006672A6">
        <w:rPr>
          <w:sz w:val="28"/>
          <w:szCs w:val="28"/>
        </w:rPr>
        <w:t>_</w:t>
      </w:r>
      <w:proofErr w:type="spellStart"/>
      <w:r w:rsidR="006672A6">
        <w:rPr>
          <w:sz w:val="28"/>
          <w:szCs w:val="28"/>
          <w:lang w:val="en-US"/>
        </w:rPr>
        <w:t>tushka</w:t>
      </w:r>
      <w:proofErr w:type="spellEnd"/>
      <w:r w:rsidR="006672A6" w:rsidRPr="006672A6">
        <w:rPr>
          <w:sz w:val="28"/>
          <w:szCs w:val="28"/>
        </w:rPr>
        <w:t>2009@</w:t>
      </w:r>
      <w:r w:rsidR="006672A6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</w:t>
      </w:r>
      <w:r>
        <w:rPr>
          <w:sz w:val="28"/>
          <w:szCs w:val="28"/>
        </w:rPr>
        <w:lastRenderedPageBreak/>
        <w:t>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выдача решения о присвоении адреса объекту адресации, расположенному на территории муниципального образования "</w:t>
      </w:r>
      <w:r w:rsidR="006672A6" w:rsidRPr="006672A6">
        <w:rPr>
          <w:color w:val="000000"/>
          <w:sz w:val="28"/>
          <w:szCs w:val="28"/>
        </w:rPr>
        <w:t xml:space="preserve"> </w:t>
      </w:r>
      <w:r w:rsidR="006672A6">
        <w:rPr>
          <w:color w:val="000000"/>
          <w:sz w:val="28"/>
          <w:szCs w:val="28"/>
        </w:rPr>
        <w:t>Старотушкин</w:t>
      </w:r>
      <w:r w:rsidR="006672A6">
        <w:rPr>
          <w:color w:val="000000"/>
          <w:sz w:val="28"/>
          <w:szCs w:val="28"/>
        </w:rPr>
        <w:t>ское</w:t>
      </w:r>
      <w:r>
        <w:rPr>
          <w:sz w:val="28"/>
          <w:szCs w:val="28"/>
        </w:rPr>
        <w:t xml:space="preserve"> сельское поселение", или аннулировании его адреса в форме распоряжения  главы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>
        <w:rPr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</w:t>
      </w:r>
      <w:r>
        <w:rPr>
          <w:sz w:val="28"/>
          <w:szCs w:val="28"/>
        </w:rPr>
        <w:lastRenderedPageBreak/>
        <w:t>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8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"О</w:t>
      </w:r>
      <w:proofErr w:type="gramEnd"/>
      <w:r>
        <w:rPr>
          <w:sz w:val="28"/>
          <w:szCs w:val="28"/>
        </w:rPr>
        <w:t xml:space="preserve">б утверждении Правил присвоения, изменения и аннулирования адресов объектов адресации, расположенных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сельского поселения от 03</w:t>
      </w:r>
      <w:r>
        <w:rPr>
          <w:sz w:val="28"/>
          <w:szCs w:val="28"/>
        </w:rPr>
        <w:t>.0</w:t>
      </w:r>
      <w:r w:rsidR="006672A6">
        <w:rPr>
          <w:sz w:val="28"/>
          <w:szCs w:val="28"/>
        </w:rPr>
        <w:t>3.2015 №4</w:t>
      </w:r>
      <w:r>
        <w:rPr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</w:t>
      </w:r>
      <w:proofErr w:type="gramStart"/>
      <w:r>
        <w:rPr>
          <w:sz w:val="28"/>
          <w:szCs w:val="28"/>
        </w:rPr>
        <w:t>Газета муниципального образования "Город Киров", N 35 (711), 24.04.2015);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9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</w:t>
      </w:r>
      <w:r>
        <w:rPr>
          <w:sz w:val="28"/>
          <w:szCs w:val="28"/>
        </w:rPr>
        <w:lastRenderedPageBreak/>
        <w:t>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, если в соответствии с Градостроительным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4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>
        <w:rPr>
          <w:sz w:val="28"/>
          <w:szCs w:val="28"/>
        </w:rPr>
        <w:t xml:space="preserve">2.7.1. </w:t>
      </w:r>
      <w:hyperlink r:id="rId25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порядке, предусмотренном законодательством Российской Федерации (в случае, </w:t>
      </w:r>
      <w:r>
        <w:rPr>
          <w:sz w:val="28"/>
          <w:szCs w:val="28"/>
        </w:rPr>
        <w:lastRenderedPageBreak/>
        <w:t>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5"/>
      <w:bookmarkEnd w:id="6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6"/>
      <w:bookmarkEnd w:id="7"/>
      <w:r>
        <w:rPr>
          <w:sz w:val="28"/>
          <w:szCs w:val="28"/>
        </w:rPr>
        <w:t xml:space="preserve">2.7.5. Правоустанавливающие и (или)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7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8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9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30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1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</w:t>
      </w:r>
      <w:r>
        <w:rPr>
          <w:sz w:val="28"/>
          <w:szCs w:val="28"/>
        </w:rPr>
        <w:lastRenderedPageBreak/>
        <w:t xml:space="preserve">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2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</w:t>
      </w:r>
      <w:proofErr w:type="gramEnd"/>
      <w:r>
        <w:rPr>
          <w:sz w:val="28"/>
          <w:szCs w:val="28"/>
        </w:rPr>
        <w:t xml:space="preserve">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3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4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5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6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7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8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9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>
        <w:rPr>
          <w:sz w:val="28"/>
          <w:szCs w:val="28"/>
        </w:rPr>
        <w:lastRenderedPageBreak/>
        <w:t>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2.15.3. Места для информирования должны быть оборудованы </w:t>
      </w:r>
      <w:r>
        <w:rPr>
          <w:sz w:val="28"/>
          <w:szCs w:val="28"/>
        </w:rPr>
        <w:lastRenderedPageBreak/>
        <w:t>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>
        <w:rPr>
          <w:sz w:val="28"/>
          <w:szCs w:val="28"/>
        </w:rPr>
        <w:t xml:space="preserve">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КОГАУ "Многофункциональный центр предоставления </w:t>
      </w:r>
      <w:r>
        <w:rPr>
          <w:sz w:val="28"/>
          <w:szCs w:val="28"/>
        </w:rPr>
        <w:lastRenderedPageBreak/>
        <w:t xml:space="preserve">государственных и муниципальных услуг":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алмыж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ул.Комсомольская</w:t>
      </w:r>
      <w:proofErr w:type="spellEnd"/>
      <w:r>
        <w:rPr>
          <w:sz w:val="28"/>
          <w:szCs w:val="28"/>
        </w:rPr>
        <w:t>, д.48.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1" w:name="Par177"/>
      <w:bookmarkEnd w:id="11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192" w:history="1">
        <w:r w:rsidR="002D4CB4">
          <w:rPr>
            <w:rStyle w:val="a3"/>
            <w:sz w:val="28"/>
            <w:szCs w:val="28"/>
          </w:rPr>
          <w:t>прием</w:t>
        </w:r>
      </w:hyperlink>
      <w:r w:rsidR="002D4CB4">
        <w:rPr>
          <w:sz w:val="28"/>
          <w:szCs w:val="28"/>
        </w:rPr>
        <w:t xml:space="preserve"> и регистрация заявления;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09" w:history="1">
        <w:r w:rsidR="002D4CB4">
          <w:rPr>
            <w:rStyle w:val="a3"/>
            <w:sz w:val="28"/>
            <w:szCs w:val="28"/>
          </w:rPr>
          <w:t>направление</w:t>
        </w:r>
      </w:hyperlink>
      <w:r w:rsidR="002D4CB4">
        <w:rPr>
          <w:sz w:val="28"/>
          <w:szCs w:val="28"/>
        </w:rPr>
        <w:t xml:space="preserve"> межведомственных запросов;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13" w:history="1">
        <w:r w:rsidR="002D4CB4">
          <w:rPr>
            <w:rStyle w:val="a3"/>
            <w:sz w:val="28"/>
            <w:szCs w:val="28"/>
          </w:rPr>
          <w:t>рассмотрение</w:t>
        </w:r>
      </w:hyperlink>
      <w:r w:rsidR="002D4CB4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4" w:history="1">
        <w:r w:rsidR="002D4CB4">
          <w:rPr>
            <w:rStyle w:val="a3"/>
            <w:sz w:val="28"/>
            <w:szCs w:val="28"/>
          </w:rPr>
          <w:t>регистрация</w:t>
        </w:r>
      </w:hyperlink>
      <w:r w:rsidR="002D4CB4">
        <w:rPr>
          <w:sz w:val="28"/>
          <w:szCs w:val="28"/>
        </w:rPr>
        <w:t xml:space="preserve"> документов;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227" w:history="1">
        <w:r w:rsidR="002D4CB4">
          <w:rPr>
            <w:rStyle w:val="a3"/>
            <w:sz w:val="28"/>
            <w:szCs w:val="28"/>
          </w:rPr>
          <w:t>выдача</w:t>
        </w:r>
      </w:hyperlink>
      <w:r w:rsidR="002D4CB4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811AEA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5" w:anchor="Par873" w:history="1">
        <w:r w:rsidR="002D4CB4">
          <w:rPr>
            <w:rStyle w:val="a3"/>
            <w:sz w:val="28"/>
            <w:szCs w:val="28"/>
          </w:rPr>
          <w:t>Блок-схема</w:t>
        </w:r>
      </w:hyperlink>
      <w:r w:rsidR="002D4CB4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по приему и </w:t>
      </w:r>
      <w:r>
        <w:rPr>
          <w:sz w:val="28"/>
          <w:szCs w:val="28"/>
        </w:rPr>
        <w:lastRenderedPageBreak/>
        <w:t xml:space="preserve">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6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7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8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решения о присвоении объекту адресации адреса или его аннулировании в форме распоряжения главы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административной процедуры не может </w:t>
      </w:r>
      <w:r>
        <w:rPr>
          <w:sz w:val="28"/>
          <w:szCs w:val="28"/>
        </w:rPr>
        <w:lastRenderedPageBreak/>
        <w:t>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>
        <w:rPr>
          <w:sz w:val="28"/>
          <w:szCs w:val="28"/>
        </w:rPr>
        <w:t>центр</w:t>
      </w:r>
      <w:proofErr w:type="gramEnd"/>
      <w:r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1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Сроки выполнения административных процедур, предусмотренные настоящим регламентом, </w:t>
      </w:r>
      <w:proofErr w:type="gramStart"/>
      <w:r>
        <w:rPr>
          <w:sz w:val="28"/>
          <w:szCs w:val="28"/>
        </w:rPr>
        <w:t>распространяются</w:t>
      </w:r>
      <w:proofErr w:type="gramEnd"/>
      <w:r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</w:t>
      </w:r>
      <w:r w:rsidR="0077360B">
        <w:rPr>
          <w:sz w:val="28"/>
          <w:szCs w:val="28"/>
        </w:rPr>
        <w:t>ального образования Старотушкинское сельское поселение</w:t>
      </w:r>
      <w:r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>
        <w:rPr>
          <w:sz w:val="28"/>
          <w:szCs w:val="28"/>
        </w:rPr>
        <w:t xml:space="preserve">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</w:t>
      </w:r>
      <w:r>
        <w:rPr>
          <w:sz w:val="28"/>
          <w:szCs w:val="28"/>
        </w:rPr>
        <w:lastRenderedPageBreak/>
        <w:t>наименований файлов, представленных в форме электронных документов, с 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7" w:name="Par249"/>
      <w:bookmarkEnd w:id="17"/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Ответственность специалистов закрепляется в их должностных 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63"/>
      <w:bookmarkEnd w:id="18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предоставляющего</w:t>
      </w:r>
      <w:proofErr w:type="gramEnd"/>
      <w:r>
        <w:rPr>
          <w:b/>
          <w:sz w:val="28"/>
          <w:szCs w:val="28"/>
        </w:rPr>
        <w:t xml:space="preserve">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Жалоба подается в отдел по работе с обращениями граждан и организаций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либо на личном приеме заявителя у заместителя главы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регистрации запроса заявителя о предоставлении </w:t>
      </w:r>
      <w:r>
        <w:rPr>
          <w:sz w:val="28"/>
          <w:szCs w:val="28"/>
        </w:rPr>
        <w:lastRenderedPageBreak/>
        <w:t>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муниципальный район (http://__________________________);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bookmarkStart w:id="19" w:name="_GoBack"/>
      <w:bookmarkEnd w:id="19"/>
      <w:r>
        <w:rPr>
          <w:sz w:val="28"/>
          <w:szCs w:val="28"/>
        </w:rPr>
        <w:t>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>
        <w:rPr>
          <w:sz w:val="28"/>
          <w:szCs w:val="28"/>
        </w:rPr>
        <w:t>рассматривалась и по которой уже принималось</w:t>
      </w:r>
      <w:proofErr w:type="gramEnd"/>
      <w:r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</w:t>
      </w:r>
      <w:r>
        <w:rPr>
          <w:sz w:val="28"/>
          <w:szCs w:val="28"/>
        </w:rPr>
        <w:lastRenderedPageBreak/>
        <w:t>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811AEA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0" w:name="Par524"/>
      <w:bookmarkEnd w:id="20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5"/>
      <w:bookmarkEnd w:id="21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2" w:name="Par527"/>
      <w:bookmarkEnd w:id="22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__________________,или </w:t>
      </w:r>
      <w:proofErr w:type="gramStart"/>
      <w:r>
        <w:rPr>
          <w:b/>
          <w:bCs/>
          <w:sz w:val="26"/>
          <w:szCs w:val="26"/>
        </w:rPr>
        <w:t>аннулировании</w:t>
      </w:r>
      <w:proofErr w:type="gramEnd"/>
      <w:r>
        <w:rPr>
          <w:b/>
          <w:bCs/>
          <w:sz w:val="26"/>
          <w:szCs w:val="26"/>
        </w:rPr>
        <w:t xml:space="preserve"> его адреса»</w:t>
      </w:r>
    </w:p>
    <w:p w:rsidR="002D4CB4" w:rsidRDefault="00811AEA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3" w:name="Par37"/>
      <w:bookmarkEnd w:id="23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811AEA" w:rsidP="002D4CB4">
      <w: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811AEA" w:rsidP="002D4CB4">
      <w:pPr>
        <w:jc w:val="center"/>
        <w:rPr>
          <w:rFonts w:asciiTheme="minorHAnsi" w:hAnsiTheme="minorHAnsi" w:cstheme="minorBidi"/>
          <w:szCs w:val="28"/>
        </w:rPr>
      </w:pPr>
      <w:r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811AEA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>
        <w:t>да                                                        нет</w:t>
      </w:r>
    </w:p>
    <w:p w:rsidR="002D4CB4" w:rsidRDefault="00811AEA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D4CB4" w:rsidRDefault="002D4CB4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CB4"/>
    <w:rsid w:val="002D4CB4"/>
    <w:rsid w:val="002F3754"/>
    <w:rsid w:val="003F44BE"/>
    <w:rsid w:val="006672A6"/>
    <w:rsid w:val="0071143C"/>
    <w:rsid w:val="0077360B"/>
    <w:rsid w:val="007B37AA"/>
    <w:rsid w:val="00811AEA"/>
    <w:rsid w:val="00D5246A"/>
    <w:rsid w:val="00E56638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Прямая со стрелкой 56"/>
        <o:r id="V:Rule2" type="connector" idref="#Прямая со стрелкой 2"/>
        <o:r id="V:Rule3" type="connector" idref="#Прямая со стрелкой 8"/>
        <o:r id="V:Rule4" type="connector" idref="#Прямая со стрелкой 54"/>
        <o:r id="V:Rule5" type="connector" idref="#Прямая со стрелкой 65"/>
        <o:r id="V:Rule6" type="connector" idref="#Прямая со стрелкой 34"/>
        <o:r id="V:Rule7" type="connector" idref="#Прямая со стрелкой 68"/>
        <o:r id="V:Rule8" type="connector" idref="#Прямая со стрелкой 61"/>
        <o:r id="V:Rule9" type="connector" idref="#Прямая со стрелкой 64"/>
        <o:r id="V:Rule10" type="connector" idref="#_x0000_s1048"/>
        <o:r id="V:Rule11" type="connector" idref="#Прямая со стрелкой 45"/>
        <o:r id="V:Rule12" type="connector" idref="#Прямая со стрелкой 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CC59D5583B96C232BE252E4BD643E9A0C0DFFC34152w1E8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hyperlink" Target="consultantplus://offline/ref=2D7EF39754EABFE25CFCB920AC152FCB2974080B3ECFCECF0EDCE2317422E805A3F23D7CDE010CFAwCE6I" TargetMode="Externa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4.emf"/><Relationship Id="rId7" Type="http://schemas.openxmlformats.org/officeDocument/2006/relationships/hyperlink" Target="consultantplus://offline/ref=2D7EF39754EABFE25CFCB920AC152FCB297403043DCECECF0EDCE23174w2E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5013EC8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3043DCECECF0EDCE2317422E805A3F23D79wDEDI" TargetMode="External"/><Relationship Id="rId37" Type="http://schemas.openxmlformats.org/officeDocument/2006/relationships/hyperlink" Target="consultantplus://offline/ref=2D7EF39754EABFE25CFCB920AC152FCB2974080B3ECFCECF0EDCE2317422E805A3F23D7CDE010CFBwCE6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2.emf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hyperlink" Target="consultantplus://offline/ref=2D7EF39754EABFE25CFCB920AC152FCB2974030B36CFCECF0EDCE23174w2E2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DwCEA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5.emf"/><Relationship Id="rId8" Type="http://schemas.openxmlformats.org/officeDocument/2006/relationships/hyperlink" Target="consultantplus://offline/ref=2D7EF39754EABFE25CFCB920AC152FCB2974030B36CFCECF0EDCE23174w2E2I" TargetMode="External"/><Relationship Id="rId5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BwCEB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2D7EF39754EABFE25CFCB920AC152FCB297403053ECFCECF0EDCE23174w2E2I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CwCE0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image" Target="media/image6.emf"/><Relationship Id="rId10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0E39-A464-40AA-ADE4-1477570F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8439</Words>
  <Characters>48108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6</cp:revision>
  <dcterms:created xsi:type="dcterms:W3CDTF">2015-11-06T06:48:00Z</dcterms:created>
  <dcterms:modified xsi:type="dcterms:W3CDTF">2015-11-30T05:10:00Z</dcterms:modified>
</cp:coreProperties>
</file>