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FFFFFF" w:val="clear"/>
        <w:spacing w:after="0" w:before="28" w:line="323" w:lineRule="atLeast"/>
        <w:contextualSpacing w:val="false"/>
        <w:jc w:val="center"/>
      </w:pPr>
      <w:r>
        <w:rPr>
          <w:b/>
          <w:bCs/>
          <w:color w:val="000000"/>
          <w:sz w:val="28"/>
          <w:szCs w:val="28"/>
        </w:rPr>
        <w:t>АДМИНИСТРАЦИЯ</w:t>
      </w:r>
    </w:p>
    <w:p>
      <w:pPr>
        <w:pStyle w:val="style0"/>
        <w:shd w:fill="FFFFFF" w:val="clear"/>
        <w:spacing w:after="0" w:before="28" w:line="323" w:lineRule="atLeast"/>
        <w:ind w:firstLine="215" w:left="0" w:right="1077"/>
        <w:contextualSpacing w:val="false"/>
        <w:jc w:val="center"/>
      </w:pPr>
      <w:r>
        <w:rPr>
          <w:b/>
          <w:bCs/>
          <w:color w:val="000000"/>
          <w:sz w:val="28"/>
          <w:szCs w:val="28"/>
        </w:rPr>
        <w:t>СТАРОТУШКИНСКОГО СЕЛЬСКОГО ПОСЕЛЕНИЯ МАЛМЫЖСКОГО РАЙОНА КИРОВСКОЙ ОБЛАСТИ</w:t>
      </w:r>
    </w:p>
    <w:p>
      <w:pPr>
        <w:pStyle w:val="style0"/>
        <w:shd w:fill="FFFFFF" w:val="clear"/>
        <w:spacing w:after="0" w:before="278"/>
        <w:contextualSpacing w:val="false"/>
        <w:jc w:val="center"/>
      </w:pPr>
      <w:r>
        <w:rPr>
          <w:b/>
          <w:bCs/>
          <w:color w:val="000000"/>
          <w:sz w:val="32"/>
          <w:szCs w:val="32"/>
        </w:rPr>
        <w:t>ПОСТАНОВЛЕНИЕ</w:t>
      </w:r>
    </w:p>
    <w:p>
      <w:pPr>
        <w:pStyle w:val="style0"/>
        <w:spacing w:after="0" w:before="28"/>
        <w:contextualSpacing w:val="false"/>
      </w:pPr>
      <w:r>
        <w:rPr/>
      </w:r>
    </w:p>
    <w:p>
      <w:pPr>
        <w:pStyle w:val="style0"/>
        <w:spacing w:after="0" w:before="28"/>
        <w:contextualSpacing w:val="false"/>
      </w:pPr>
      <w:r>
        <w:rPr>
          <w:sz w:val="27"/>
          <w:szCs w:val="27"/>
        </w:rPr>
        <w:t>_______________                                                                                                  № __</w:t>
      </w:r>
    </w:p>
    <w:p>
      <w:pPr>
        <w:pStyle w:val="style0"/>
        <w:spacing w:after="0" w:before="28"/>
        <w:contextualSpacing w:val="false"/>
      </w:pPr>
      <w:r>
        <w:rPr>
          <w:sz w:val="27"/>
          <w:szCs w:val="27"/>
        </w:rPr>
        <w:t xml:space="preserve">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r>
        <w:rPr>
          <w:sz w:val="28"/>
          <w:szCs w:val="28"/>
        </w:rPr>
        <w:t>Старая Тушка</w:t>
      </w:r>
    </w:p>
    <w:p>
      <w:pPr>
        <w:pStyle w:val="style0"/>
        <w:pBdr>
          <w:top w:val="none"/>
          <w:left w:val="none"/>
          <w:bottom w:color="ECF8F8" w:space="0" w:sz="12" w:val="single"/>
          <w:insideH w:color="ECF8F8" w:space="0" w:sz="12" w:val="single"/>
          <w:right w:val="none"/>
          <w:insideV w:val="none"/>
        </w:pBdr>
        <w:suppressAutoHyphens w:val="false"/>
        <w:spacing w:after="28" w:before="0"/>
        <w:contextualSpacing w:val="false"/>
      </w:pPr>
      <w:r>
        <w:rPr/>
      </w:r>
    </w:p>
    <w:p>
      <w:pPr>
        <w:pStyle w:val="style0"/>
        <w:pBdr>
          <w:top w:val="none"/>
          <w:left w:val="none"/>
          <w:bottom w:color="ECF8F8" w:space="0" w:sz="12" w:val="single"/>
          <w:insideH w:color="ECF8F8" w:space="0" w:sz="12" w:val="single"/>
          <w:right w:val="none"/>
          <w:insideV w:val="none"/>
        </w:pBdr>
        <w:suppressAutoHyphens w:val="false"/>
        <w:spacing w:after="28" w:before="0"/>
        <w:contextualSpacing w:val="false"/>
      </w:pPr>
      <w:r>
        <w:rPr/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>Об утверждении программы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 xml:space="preserve">«Профилактика терроризма и экстремизма в муниципальном образовании </w:t>
      </w:r>
      <w:r>
        <w:rPr>
          <w:b/>
          <w:sz w:val="28"/>
          <w:szCs w:val="28"/>
          <w:lang w:eastAsia="ru-RU"/>
        </w:rPr>
        <w:t>Старотушки</w:t>
      </w:r>
      <w:r>
        <w:rPr>
          <w:b/>
          <w:sz w:val="28"/>
          <w:szCs w:val="28"/>
          <w:lang w:eastAsia="ru-RU"/>
        </w:rPr>
        <w:t>н</w:t>
      </w:r>
      <w:r>
        <w:rPr>
          <w:b/>
          <w:sz w:val="28"/>
          <w:szCs w:val="28"/>
          <w:lang w:eastAsia="ru-RU"/>
        </w:rPr>
        <w:t xml:space="preserve">ское </w:t>
      </w:r>
      <w:r>
        <w:rPr>
          <w:b/>
          <w:sz w:val="28"/>
          <w:szCs w:val="28"/>
          <w:lang w:eastAsia="ru-RU"/>
        </w:rPr>
        <w:t>сельское поселение на 2014-2016 годы»</w:t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both"/>
      </w:pPr>
      <w:r>
        <w:rPr>
          <w:sz w:val="28"/>
          <w:szCs w:val="28"/>
        </w:rPr>
        <w:tab/>
        <w:t>В соответствии с пунктом 7.1 части 1 статьи 14 Федерального закона от</w:t>
      </w:r>
    </w:p>
    <w:p>
      <w:pPr>
        <w:pStyle w:val="style20"/>
        <w:jc w:val="both"/>
      </w:pPr>
      <w:r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Федеральными законами от 6 марта 2006 года № 35-ФЗ «О противодействии терроризму» и от 25 июля 2002 года № 114-ФЗ «О противодействии экстремистской деятельности», Уставом </w:t>
      </w:r>
      <w:r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 сельского поселения, в целях реализации полномочия администрации </w:t>
      </w:r>
      <w:r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поселения» и активизации работы по обеспечению общественной безопасности, администрация сельского поселения ПОСТАНОВЛЯЕТ:</w:t>
      </w:r>
    </w:p>
    <w:p>
      <w:pPr>
        <w:pStyle w:val="style20"/>
        <w:jc w:val="both"/>
      </w:pPr>
      <w:r>
        <w:rPr>
          <w:sz w:val="28"/>
          <w:szCs w:val="28"/>
        </w:rPr>
        <w:tab/>
        <w:t xml:space="preserve">1. Утвердить целевую программу «Профилактика терроризма и экстремизма в </w:t>
      </w:r>
      <w:r>
        <w:rPr>
          <w:sz w:val="28"/>
          <w:szCs w:val="28"/>
        </w:rPr>
        <w:t>Старотушкинском</w:t>
      </w:r>
      <w:r>
        <w:rPr>
          <w:sz w:val="28"/>
          <w:szCs w:val="28"/>
        </w:rPr>
        <w:t xml:space="preserve">  сельском поселении на 2014-2016 годы» согласно приложению.</w:t>
      </w:r>
    </w:p>
    <w:p>
      <w:pPr>
        <w:pStyle w:val="style2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.Опубликовать настоящее постановление в информационном бюллетени  органов местного самоуправления муниципального образования </w:t>
      </w:r>
      <w:r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>Малмыжского района Кировской области</w:t>
      </w:r>
      <w:r>
        <w:rPr>
          <w:sz w:val="28"/>
          <w:szCs w:val="28"/>
        </w:rPr>
        <w:t>.</w:t>
      </w:r>
    </w:p>
    <w:p>
      <w:pPr>
        <w:pStyle w:val="style20"/>
        <w:jc w:val="both"/>
      </w:pPr>
      <w:r>
        <w:rPr/>
        <w:tab/>
      </w:r>
      <w:r>
        <w:rPr/>
        <w:t>3</w:t>
      </w:r>
      <w:r>
        <w:rPr>
          <w:sz w:val="28"/>
          <w:szCs w:val="28"/>
        </w:rPr>
        <w:t>. Контроль за исполнением настоящего постановления оставляю за собой.</w:t>
      </w:r>
    </w:p>
    <w:p>
      <w:pPr>
        <w:pStyle w:val="style20"/>
        <w:jc w:val="both"/>
      </w:pPr>
      <w:r>
        <w:rPr/>
      </w:r>
    </w:p>
    <w:p>
      <w:pPr>
        <w:pStyle w:val="style20"/>
        <w:jc w:val="both"/>
      </w:pPr>
      <w:r>
        <w:rPr/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 xml:space="preserve">Глава </w:t>
      </w:r>
      <w:r>
        <w:rPr>
          <w:sz w:val="28"/>
          <w:szCs w:val="28"/>
          <w:lang w:eastAsia="ru-RU"/>
        </w:rPr>
        <w:t>администрации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>Старотушкин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>кого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>сельского поселения           Р.</w:t>
      </w:r>
      <w:r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Новокшонова</w:t>
      </w:r>
    </w:p>
    <w:p>
      <w:pPr>
        <w:pStyle w:val="style0"/>
        <w:suppressAutoHyphens w:val="false"/>
        <w:spacing w:after="28" w:before="28"/>
        <w:contextualSpacing w:val="false"/>
      </w:pPr>
      <w:r>
        <w:rPr/>
      </w:r>
    </w:p>
    <w:p>
      <w:pPr>
        <w:pStyle w:val="style0"/>
        <w:suppressAutoHyphens w:val="false"/>
        <w:spacing w:after="28" w:before="28"/>
        <w:contextualSpacing w:val="false"/>
      </w:pPr>
      <w:r>
        <w:rPr/>
      </w:r>
    </w:p>
    <w:p>
      <w:pPr>
        <w:pStyle w:val="style0"/>
        <w:suppressAutoHyphens w:val="false"/>
        <w:spacing w:after="28" w:before="28"/>
        <w:contextualSpacing w:val="false"/>
      </w:pPr>
      <w:r>
        <w:rPr/>
      </w:r>
    </w:p>
    <w:p>
      <w:pPr>
        <w:pStyle w:val="style0"/>
        <w:suppressAutoHyphens w:val="false"/>
        <w:spacing w:after="28" w:before="28"/>
        <w:contextualSpacing w:val="false"/>
      </w:pPr>
      <w:r>
        <w:rPr/>
      </w:r>
    </w:p>
    <w:p>
      <w:pPr>
        <w:pStyle w:val="style0"/>
        <w:suppressAutoHyphens w:val="false"/>
        <w:spacing w:after="28" w:before="28"/>
        <w:contextualSpacing w:val="false"/>
        <w:jc w:val="right"/>
      </w:pPr>
      <w:r>
        <w:rPr>
          <w:sz w:val="28"/>
          <w:szCs w:val="28"/>
        </w:rPr>
      </w:r>
    </w:p>
    <w:p>
      <w:pPr>
        <w:pStyle w:val="style0"/>
        <w:suppressAutoHyphens w:val="false"/>
        <w:spacing w:after="28" w:before="28"/>
        <w:contextualSpacing w:val="false"/>
        <w:jc w:val="right"/>
      </w:pPr>
      <w:r>
        <w:rPr>
          <w:sz w:val="28"/>
          <w:szCs w:val="28"/>
        </w:rPr>
        <w:t>Приложение</w:t>
      </w:r>
    </w:p>
    <w:p>
      <w:pPr>
        <w:pStyle w:val="style0"/>
        <w:suppressAutoHyphens w:val="false"/>
        <w:spacing w:after="28" w:before="28"/>
        <w:contextualSpacing w:val="false"/>
      </w:pPr>
      <w:r>
        <w:rPr/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  <w:t>Утверждена</w:t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  <w:t xml:space="preserve"> </w:t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  <w:t>постановлением администрации</w:t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  <w:t>Старотушкинского</w:t>
      </w:r>
      <w:r>
        <w:rPr>
          <w:sz w:val="28"/>
          <w:szCs w:val="28"/>
          <w:lang w:eastAsia="ru-RU"/>
        </w:rPr>
        <w:t xml:space="preserve"> сельского поселения </w:t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  <w:t>от _________ № __</w:t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</w:r>
    </w:p>
    <w:p>
      <w:pPr>
        <w:pStyle w:val="style20"/>
        <w:jc w:val="right"/>
      </w:pPr>
      <w:r>
        <w:rPr>
          <w:sz w:val="28"/>
          <w:szCs w:val="28"/>
          <w:lang w:eastAsia="ru-RU"/>
        </w:rPr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>Программа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 xml:space="preserve">«Профилактика терроризма и экстремизма в </w:t>
      </w:r>
      <w:r>
        <w:rPr>
          <w:b/>
          <w:sz w:val="28"/>
          <w:szCs w:val="28"/>
          <w:lang w:eastAsia="ru-RU"/>
        </w:rPr>
        <w:t>Старотушкинском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>сельском поселении на 2014-2016 годы»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>ПАСПОРТ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>целевой программы «Профилактика терроризма</w:t>
      </w:r>
    </w:p>
    <w:p>
      <w:pPr>
        <w:pStyle w:val="style20"/>
        <w:jc w:val="center"/>
      </w:pPr>
      <w:r>
        <w:rPr>
          <w:b/>
          <w:sz w:val="28"/>
          <w:szCs w:val="28"/>
          <w:lang w:eastAsia="ru-RU"/>
        </w:rPr>
        <w:t xml:space="preserve">и экстремизма в </w:t>
      </w:r>
      <w:r>
        <w:rPr>
          <w:b/>
          <w:sz w:val="28"/>
          <w:szCs w:val="28"/>
          <w:lang w:eastAsia="ru-RU"/>
        </w:rPr>
        <w:t>Старотушкинском</w:t>
      </w:r>
      <w:r>
        <w:rPr>
          <w:b/>
          <w:sz w:val="28"/>
          <w:szCs w:val="28"/>
          <w:lang w:eastAsia="ru-RU"/>
        </w:rPr>
        <w:t xml:space="preserve">  сельском поселении на 2014-2016 годы»</w:t>
      </w:r>
    </w:p>
    <w:p>
      <w:pPr>
        <w:pStyle w:val="style20"/>
        <w:jc w:val="center"/>
      </w:pPr>
      <w:r>
        <w:rPr/>
      </w:r>
    </w:p>
    <w:tbl>
      <w:tblPr>
        <w:jc w:val="left"/>
        <w:tblInd w:type="dxa" w:w="-15"/>
        <w:tblBorders>
          <w:top w:color="00000A" w:space="0" w:sz="12" w:val="thickThinSmallGap"/>
          <w:left w:color="00000A" w:space="0" w:sz="12" w:val="thickThinSmallGap"/>
          <w:bottom w:color="00000A" w:space="0" w:sz="12" w:val="thickThinSmallGap"/>
          <w:insideH w:color="00000A" w:space="0" w:sz="12" w:val="thickThinSmallGap"/>
          <w:right w:color="00000A" w:space="0" w:sz="12" w:val="thickThinSmallGap"/>
          <w:insideV w:color="00000A" w:space="0" w:sz="12" w:val="thickThinSmallGap"/>
        </w:tblBorders>
        <w:tblCellMar>
          <w:top w:type="dxa" w:w="0"/>
          <w:left w:type="dxa" w:w="-30"/>
          <w:bottom w:type="dxa" w:w="0"/>
          <w:right w:type="dxa" w:w="0"/>
        </w:tblCellMar>
      </w:tblPr>
      <w:tblGrid>
        <w:gridCol w:w="2055"/>
        <w:gridCol w:w="7335"/>
      </w:tblGrid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Целевая программа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«Профилактика терроризма и экстремизма в </w:t>
            </w:r>
            <w:r>
              <w:rPr>
                <w:b/>
                <w:sz w:val="28"/>
                <w:szCs w:val="28"/>
                <w:lang w:eastAsia="ru-RU"/>
              </w:rPr>
              <w:t>Старотушкинском</w:t>
            </w:r>
            <w:r>
              <w:rPr>
                <w:sz w:val="28"/>
                <w:szCs w:val="28"/>
                <w:lang w:eastAsia="ru-RU"/>
              </w:rPr>
              <w:t xml:space="preserve"> сельском поселении на 2014-2016 годы»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Федеральный закон от 6 марта 2006 года №35-ФЗ «О противодействии терроризму»;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Федеральный закон от 25 июля 2002 года №114-ФЗ «О противодействии экстремистской деятельности»;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Указ Президента Российской Федерации от 15.02.2006 г. № 116 «О мерах по противодействию терроризму».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b/>
                <w:sz w:val="28"/>
                <w:szCs w:val="28"/>
                <w:lang w:eastAsia="ru-RU"/>
              </w:rPr>
              <w:t>Старотушкинского</w:t>
            </w:r>
            <w:r>
              <w:rPr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b/>
                <w:sz w:val="28"/>
                <w:szCs w:val="28"/>
                <w:lang w:eastAsia="ru-RU"/>
              </w:rPr>
              <w:t>Старотушкинского</w:t>
            </w:r>
            <w:r>
              <w:rPr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Цели программы: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совершенствование системы профилактических мер антитеррористической антиэкстремистской направленности;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предупреждение террористических и экстремистских проявлений на территории поселения;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укрепление межнационального согласия;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достижение взаимопонимания и взаимного уважения в вопросах межэтнического и межкультурного сотрудничества.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Основные цели программы: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-повышение уровня межведомственного взаимопонимания по профилактике терроризма и экстремизма;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- сведение к минимуму проявлений терроризма и </w:t>
            </w:r>
            <w:r>
              <w:rPr>
                <w:sz w:val="28"/>
                <w:szCs w:val="28"/>
                <w:lang w:eastAsia="ru-RU"/>
              </w:rPr>
              <w:t>экстремизма на территории поселения;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усиление антитеррористической защищенности объектов социальной сферы;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- проведение воспитательной, пропагандистской работы с населением поселения, направленной на предупреждение террористической и экстремистской деятельности, повышение бдительности.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Реализация Программы будет осуществляться в течение 2014 – 2016 гг. в 3 этапа: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1 этап – 2014 год;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2 этап – 2015 год;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3 этап – 2016 год.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>Ожидаемые результаты от реализации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 xml:space="preserve">Противодействия проникновению в общественное сознание идей религиозного фундаментализма, экстремизма и нетерпимости. 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 нетерпимости, противодействию этнической дискриминации. 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 xml:space="preserve"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 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</w:rPr>
              <w:t xml:space="preserve">Руководители общеобразовательных учреждений (по согласованию) поселения, руководители учреждений культуры поселения, участковый (по согласованию), сотрудники ОВД Малмыжского района (по согласованию),  </w:t>
            </w:r>
            <w:r>
              <w:rPr>
                <w:sz w:val="28"/>
                <w:szCs w:val="28"/>
              </w:rPr>
              <w:t>руководитель  СПК -СХА ( колхоза) имени Мичурина  ( по согласованию),</w:t>
            </w: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0"/>
              <w:suppressAutoHyphens w:val="false"/>
              <w:spacing w:after="28" w:before="28"/>
              <w:contextualSpacing w:val="false"/>
              <w:jc w:val="both"/>
            </w:pPr>
            <w:r>
              <w:rPr>
                <w:color w:val="5F5F5F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Всего по Программе: тыс. руб., </w:t>
              <w:br/>
            </w:r>
            <w:r>
              <w:rPr>
                <w:bCs/>
                <w:sz w:val="28"/>
                <w:szCs w:val="28"/>
                <w:lang w:eastAsia="ru-RU"/>
              </w:rPr>
              <w:t xml:space="preserve">2014 -  </w:t>
            </w:r>
            <w:r>
              <w:rPr>
                <w:bCs/>
                <w:sz w:val="28"/>
                <w:szCs w:val="28"/>
                <w:lang w:eastAsia="ru-RU"/>
              </w:rPr>
              <w:t>0.0</w:t>
            </w:r>
            <w:r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  <w:p>
            <w:pPr>
              <w:pStyle w:val="style20"/>
              <w:jc w:val="both"/>
            </w:pPr>
            <w:r>
              <w:rPr>
                <w:bCs/>
                <w:sz w:val="28"/>
                <w:szCs w:val="28"/>
                <w:lang w:eastAsia="ru-RU"/>
              </w:rPr>
              <w:t xml:space="preserve">2015 </w:t>
            </w:r>
            <w:r>
              <w:rPr>
                <w:bCs/>
                <w:sz w:val="28"/>
                <w:szCs w:val="28"/>
                <w:lang w:eastAsia="ru-RU"/>
              </w:rPr>
              <w:t>-</w:t>
            </w:r>
            <w:r>
              <w:rPr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0,5</w:t>
            </w:r>
            <w:r>
              <w:rPr>
                <w:bCs/>
                <w:sz w:val="28"/>
                <w:szCs w:val="28"/>
                <w:lang w:eastAsia="ru-RU"/>
              </w:rPr>
              <w:t>00</w:t>
            </w:r>
          </w:p>
          <w:p>
            <w:pPr>
              <w:pStyle w:val="style20"/>
              <w:jc w:val="both"/>
            </w:pPr>
            <w:r>
              <w:rPr>
                <w:bCs/>
                <w:sz w:val="28"/>
                <w:szCs w:val="28"/>
                <w:lang w:eastAsia="ru-RU"/>
              </w:rPr>
              <w:t>2016 –</w:t>
            </w:r>
            <w:r>
              <w:rPr>
                <w:bCs/>
                <w:sz w:val="28"/>
                <w:szCs w:val="28"/>
                <w:lang w:eastAsia="ru-RU"/>
              </w:rPr>
              <w:t>0,5</w:t>
            </w:r>
            <w:r>
              <w:rPr>
                <w:bCs/>
                <w:sz w:val="28"/>
                <w:szCs w:val="28"/>
                <w:lang w:eastAsia="ru-RU"/>
              </w:rPr>
              <w:t>00</w:t>
            </w:r>
          </w:p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Финансирование Программы осуществляется из бюджета сельского поселения. </w:t>
              <w:br/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Программы. Размещение заказов, связанных с исполнением Программы, осуществляется в соответствии с Федеральным законом от 21 июля 2005 года N 94-ФЗ "О размещении заказов на поставки товаров, выполнение работ, оказание услуг для государственных и муниципальных нужд".</w:t>
            </w:r>
          </w:p>
        </w:tc>
      </w:tr>
      <w:tr>
        <w:trPr>
          <w:cantSplit w:val="false"/>
        </w:trPr>
        <w:tc>
          <w:tcPr>
            <w:tcW w:type="dxa" w:w="205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Управление программой и контроль за её реализацией</w:t>
            </w:r>
          </w:p>
        </w:tc>
        <w:tc>
          <w:tcPr>
            <w:tcW w:type="dxa" w:w="733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both"/>
            </w:pPr>
            <w:r>
              <w:rPr>
                <w:sz w:val="28"/>
                <w:szCs w:val="28"/>
                <w:lang w:eastAsia="ru-RU"/>
              </w:rPr>
              <w:t>Контроль за выполнением настоящей Программы осуществляет администрация сельского поселения.</w:t>
            </w:r>
          </w:p>
        </w:tc>
      </w:tr>
      <w:tr>
        <w:trPr>
          <w:cantSplit w:val="false"/>
        </w:trPr>
        <w:tc>
          <w:tcPr>
            <w:tcW w:type="dxa" w:w="9390"/>
            <w:gridSpan w:val="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0"/>
              <w:suppressAutoHyphens w:val="false"/>
              <w:jc w:val="both"/>
            </w:pPr>
            <w:r>
              <w:rPr/>
            </w:r>
          </w:p>
        </w:tc>
      </w:tr>
    </w:tbl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I. Содержание проблемы и обоснование необходимости ее решения программными методами.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Необходимость подготовки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 когда наметилась тенденция к стабилизации обстановки в регионе Северного Кавказа и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характеризуется достаточно высокой степенью уязвимости в диверсионно-террористическом отношении.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Характерными недостатками по обеспечению безопасности на ряде объектов социальной сферы, образования, культуры являются: отсутствие тревожной кнопки, систем оповещения, металлических дверей и надежного ограждения. Имеют место недостаточные знания и отсутствие навыков обучающихся, посетителей и работников правилам поведения в чрезвычайных ситуациях, вызванных проявлениями терроризма и экстремизма.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</w:r>
    </w:p>
    <w:p>
      <w:pPr>
        <w:pStyle w:val="style20"/>
        <w:jc w:val="center"/>
      </w:pPr>
      <w:r>
        <w:rPr>
          <w:b/>
          <w:bCs/>
          <w:sz w:val="28"/>
          <w:szCs w:val="28"/>
          <w:lang w:eastAsia="ru-RU"/>
        </w:rPr>
        <w:t>Цели и задачи программы, сроки и этапы ее реализации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Основными целями Программы являются реализация государственной политики в области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 проявлений на территории поселения,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 xml:space="preserve">Основными задачами Программы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</w:t>
      </w:r>
      <w:r>
        <w:rPr>
          <w:sz w:val="28"/>
          <w:szCs w:val="28"/>
          <w:lang w:eastAsia="ru-RU"/>
        </w:rPr>
        <w:t xml:space="preserve">структур, в том числе СМИ и общественных объединений, для обеспечения </w:t>
      </w:r>
      <w:r>
        <w:rPr>
          <w:sz w:val="28"/>
          <w:szCs w:val="28"/>
          <w:lang w:eastAsia="ru-RU"/>
        </w:rPr>
        <w:t>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поселения, направленной на предупреждение террористической и экстремистской деятельности, повышения бдительности.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>Исполнение мероприятий, предусмотренных Программой, позволит решить наиболее острые проблемы, стоящие перед администрацией сельского поселения и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>
      <w:pPr>
        <w:pStyle w:val="style20"/>
        <w:jc w:val="both"/>
      </w:pPr>
      <w:r>
        <w:rPr>
          <w:sz w:val="28"/>
          <w:szCs w:val="28"/>
        </w:rPr>
        <w:tab/>
        <w:t>Программа будет осуществлена в течение 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- 201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в 3 этапа.</w:t>
      </w:r>
    </w:p>
    <w:p>
      <w:pPr>
        <w:pStyle w:val="style20"/>
        <w:jc w:val="both"/>
      </w:pPr>
      <w:r>
        <w:rPr>
          <w:sz w:val="28"/>
          <w:szCs w:val="28"/>
        </w:rPr>
      </w:r>
    </w:p>
    <w:p>
      <w:pPr>
        <w:pStyle w:val="style20"/>
        <w:jc w:val="center"/>
      </w:pPr>
      <w:r>
        <w:rPr>
          <w:b/>
          <w:bCs/>
          <w:sz w:val="28"/>
          <w:szCs w:val="28"/>
        </w:rPr>
        <w:t>Программные мероприятия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Программа включает мероприятия по приоритетным направлениям в сфере профилактики терроризма и экстремизма: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информационно-пропагандистское противодействие терроризму и экстремизму;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организационно-технические мероприятия.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</w:r>
    </w:p>
    <w:p>
      <w:pPr>
        <w:pStyle w:val="style20"/>
        <w:jc w:val="center"/>
      </w:pPr>
      <w:r>
        <w:rPr>
          <w:b/>
          <w:bCs/>
          <w:sz w:val="28"/>
          <w:szCs w:val="28"/>
          <w:lang w:eastAsia="ru-RU"/>
        </w:rPr>
        <w:t>Информационно-пропагандистское противодействие терроризму и экстремизму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В целях реализации данного направления Программы запланировано проведение следующих мероприятий: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- информирование населения о профилактике терроризма и экстремизма через информационные бюллетени;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 xml:space="preserve">- проведение лекций и бесед в МКОУ 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ОШ с. </w:t>
      </w:r>
      <w:r>
        <w:rPr>
          <w:sz w:val="28"/>
          <w:szCs w:val="28"/>
          <w:lang w:eastAsia="ru-RU"/>
        </w:rPr>
        <w:t>Старая Тушка и Кинерь</w:t>
      </w:r>
      <w:r>
        <w:rPr>
          <w:sz w:val="28"/>
          <w:szCs w:val="28"/>
          <w:lang w:eastAsia="ru-RU"/>
        </w:rPr>
        <w:t>, направленных на профилактику проявлений экстремизма, терроризма, преступлений против личности, общества, государства;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- распространение памяток, листовок среди населения «Терроризм – угроза обществу».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2. Организационно-технические мероприятия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В целях реализации данного направления Программы запланировано проведение следующих мероприятий: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- проведение учебных тренировок с персоналом учреждений культуры и образования по вопросам предупреждения террористических актов и правилам поведения при их возникновении;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- проводить обследование потенциально опасных объектов, объектов соцкультбыта, пустующих домов на территории сельского поселения.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Ресурсное обеспечение Программы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>Финансирование программы предполагается осуществлять за счет бюджета поселения. Для реализации Программных мероприятий необходимо 3 тысяч рублей.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4</w:t>
      </w:r>
      <w:r>
        <w:rPr>
          <w:sz w:val="28"/>
          <w:szCs w:val="28"/>
          <w:lang w:eastAsia="ru-RU"/>
        </w:rPr>
        <w:t>. Организация управления реализацией Программы и контроль за ходом ее выполнения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Контроль за исполнением программных мероприятий осуществляется администрацией сельского поселения.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Ответственными за выполнение мероприятий Программы в установленные сроки являются исполнители Программы.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5</w:t>
      </w:r>
      <w:r>
        <w:rPr>
          <w:sz w:val="28"/>
          <w:szCs w:val="28"/>
          <w:lang w:eastAsia="ru-RU"/>
        </w:rPr>
        <w:t>. Ожидаемые результаты реализации Программы</w:t>
      </w:r>
    </w:p>
    <w:p>
      <w:pPr>
        <w:pStyle w:val="style20"/>
        <w:jc w:val="both"/>
      </w:pPr>
      <w:r>
        <w:rPr>
          <w:sz w:val="28"/>
          <w:szCs w:val="28"/>
          <w:lang w:eastAsia="ru-RU"/>
        </w:rPr>
        <w:tab/>
        <w:t>Реализация мероприятий Программы позволит снизить возможность совершения террористических актов на территории поселения.</w:t>
      </w:r>
    </w:p>
    <w:p>
      <w:pPr>
        <w:pStyle w:val="style20"/>
      </w:pPr>
      <w:r>
        <w:rPr>
          <w:sz w:val="28"/>
          <w:szCs w:val="28"/>
          <w:lang w:eastAsia="ru-RU"/>
        </w:rPr>
        <w:tab/>
        <w:t>6</w:t>
      </w:r>
      <w:r>
        <w:rPr>
          <w:sz w:val="28"/>
          <w:szCs w:val="28"/>
          <w:lang w:eastAsia="ru-RU"/>
        </w:rPr>
        <w:t>. Система программных мероприятий</w:t>
      </w:r>
    </w:p>
    <w:tbl>
      <w:tblPr>
        <w:jc w:val="left"/>
        <w:tblInd w:type="dxa" w:w="-15"/>
        <w:tblBorders>
          <w:top w:color="00000A" w:space="0" w:sz="12" w:val="thickThinSmallGap"/>
          <w:left w:color="00000A" w:space="0" w:sz="12" w:val="thickThinSmallGap"/>
          <w:bottom w:color="00000A" w:space="0" w:sz="12" w:val="thickThinSmallGap"/>
          <w:insideH w:color="00000A" w:space="0" w:sz="12" w:val="thickThinSmallGap"/>
          <w:right w:color="00000A" w:space="0" w:sz="12" w:val="thickThinSmallGap"/>
          <w:insideV w:color="00000A" w:space="0" w:sz="12" w:val="thickThinSmallGap"/>
        </w:tblBorders>
        <w:tblCellMar>
          <w:top w:type="dxa" w:w="0"/>
          <w:left w:type="dxa" w:w="-30"/>
          <w:bottom w:type="dxa" w:w="0"/>
          <w:right w:type="dxa" w:w="0"/>
        </w:tblCellMar>
      </w:tblPr>
      <w:tblGrid>
        <w:gridCol w:w="684"/>
        <w:gridCol w:w="3441"/>
        <w:gridCol w:w="2552"/>
        <w:gridCol w:w="1417"/>
        <w:gridCol w:w="1291"/>
      </w:tblGrid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№</w:t>
            </w:r>
          </w:p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Срок исполне-</w:t>
            </w:r>
          </w:p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Объем финанси-</w:t>
            </w:r>
          </w:p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рования (тыс.руб.)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</w:tr>
      <w:tr>
        <w:trPr>
          <w:cantSplit w:val="false"/>
        </w:trPr>
        <w:tc>
          <w:tcPr>
            <w:tcW w:type="dxa" w:w="9385"/>
            <w:gridSpan w:val="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</w:pPr>
            <w:r>
              <w:rPr>
                <w:b/>
                <w:bCs/>
                <w:sz w:val="28"/>
                <w:szCs w:val="28"/>
                <w:lang w:eastAsia="ru-RU"/>
              </w:rPr>
              <w:t>I. Информационно-пропагандистское противодействие терроризму и экстремизму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Информирование населения о профилактике терроризма и экстремизма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Без финансирования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Проведение лекций и бесед в МКОУ </w:t>
            </w:r>
            <w:r>
              <w:rPr>
                <w:sz w:val="28"/>
                <w:szCs w:val="28"/>
                <w:lang w:eastAsia="ru-RU"/>
              </w:rPr>
              <w:t>О</w:t>
            </w:r>
            <w:r>
              <w:rPr>
                <w:sz w:val="28"/>
                <w:szCs w:val="28"/>
                <w:lang w:eastAsia="ru-RU"/>
              </w:rPr>
              <w:t>ОШ, на сходах граждан направленных на профилактику проявлений экстремизма, терроризма, преступлений против личности, общества, государства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Глава администрации, ответственный за решение вопросов пожарной безопасности, ГО и ЧС поселения, участковый (по согласованию) 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Еже</w:t>
            </w:r>
            <w:r>
              <w:rPr>
                <w:sz w:val="28"/>
                <w:szCs w:val="28"/>
                <w:lang w:eastAsia="ru-RU"/>
              </w:rPr>
              <w:t>квартально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Без финансирования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Распространение памяток, листовок среди населения, обеспечить наглядной агитацией в учреждения соц. </w:t>
            </w:r>
            <w:r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>феры.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Администрация поселения, участковый (по согласованию)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1,0 руб.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Проводить рейды по обеспечению правопорядка и профилактики в местах массового отдыха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Главы администрации сельского поселения, сотрудники ОВД Малмыжского района (по согласованию)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Постоянно в период проведения мероприятий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Без финансирования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Вести наблюдения за парковкой транспорта </w:t>
            </w:r>
          </w:p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возле зданий школы, детского сада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 xml:space="preserve">Директор школы, заведующие </w:t>
            </w:r>
          </w:p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Садиков (по согласованию)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Без финансирования</w:t>
            </w:r>
          </w:p>
        </w:tc>
      </w:tr>
      <w:tr>
        <w:trPr>
          <w:cantSplit w:val="false"/>
        </w:trPr>
        <w:tc>
          <w:tcPr>
            <w:tcW w:type="dxa" w:w="9385"/>
            <w:gridSpan w:val="5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b/>
                <w:bCs/>
                <w:sz w:val="28"/>
                <w:szCs w:val="28"/>
                <w:lang w:eastAsia="ru-RU"/>
              </w:rPr>
              <w:t>II. Организационно-технические мероприятия</w:t>
            </w:r>
          </w:p>
        </w:tc>
      </w:tr>
      <w:tr>
        <w:trPr>
          <w:cantSplit w:val="false"/>
        </w:trPr>
        <w:tc>
          <w:tcPr>
            <w:tcW w:type="dxa" w:w="684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type="dxa" w:w="344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Проведение комплексных обследований потенциально опасных объектов, соцкультбыта, пустующих домов на территории сельского поселения</w:t>
            </w:r>
          </w:p>
        </w:tc>
        <w:tc>
          <w:tcPr>
            <w:tcW w:type="dxa" w:w="2552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Глава администрации сельского поселения, руководители объектов, участковый (по согласованию)</w:t>
            </w:r>
          </w:p>
        </w:tc>
        <w:tc>
          <w:tcPr>
            <w:tcW w:type="dxa" w:w="1417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type="dxa" w:w="1291"/>
            <w:tcBorders>
              <w:top w:color="00000A" w:space="0" w:sz="12" w:val="thickThinSmallGap"/>
              <w:left w:color="00000A" w:space="0" w:sz="12" w:val="thickThinSmallGap"/>
              <w:bottom w:color="00000A" w:space="0" w:sz="12" w:val="thickThinSmallGap"/>
              <w:right w:color="00000A" w:space="0" w:sz="12" w:val="thickThinSmallGap"/>
            </w:tcBorders>
            <w:shd w:fill="FFFFFF" w:val="clear"/>
            <w:tcMar>
              <w:left w:type="dxa" w:w="-30"/>
            </w:tcMar>
          </w:tcPr>
          <w:p>
            <w:pPr>
              <w:pStyle w:val="style20"/>
              <w:jc w:val="left"/>
            </w:pPr>
            <w:r>
              <w:rPr>
                <w:sz w:val="28"/>
                <w:szCs w:val="28"/>
                <w:lang w:eastAsia="ru-RU"/>
              </w:rPr>
              <w:t>Без финансирования</w:t>
            </w:r>
          </w:p>
        </w:tc>
      </w:tr>
    </w:tbl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  <w:t>___________</w:t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  <w:jc w:val="center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p>
      <w:pPr>
        <w:pStyle w:val="style0"/>
        <w:suppressAutoHyphens w:val="false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Andale Sans UI" w:hAnsi="Times New Roman"/>
      <w:color w:val="auto"/>
      <w:sz w:val="24"/>
      <w:szCs w:val="24"/>
      <w:lang w:bidi="zxx-" w:eastAsia="zxx-" w:val="zxx-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Tahoma" w:eastAsia="Andale Sans U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Tahoma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Tahoma"/>
    </w:rPr>
  </w:style>
  <w:style w:styleId="style20" w:type="paragraph">
    <w:name w:val="No Spacing"/>
    <w:next w:val="style20"/>
    <w:pPr>
      <w:widowControl/>
      <w:suppressAutoHyphens w:val="true"/>
      <w:kinsoku w:val="true"/>
      <w:overflowPunct w:val="true"/>
      <w:autoSpaceDE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zh-CN" w:val="ru-RU"/>
    </w:rPr>
  </w:style>
  <w:style w:styleId="style21" w:type="paragraph">
    <w:name w:val="Содержимое таблицы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35</TotalTime>
  <Application>LibreOffice/4.0.0.3$Windows_x86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2009-04-16T11:32:02.64Z</dcterms:created>
  <cp:lastPrinted>2014-03-14T10:52:56.69Z</cp:lastPrinted>
  <dcterms:modified xsi:type="dcterms:W3CDTF">2014-03-14T11:15:45.40Z</dcterms:modified>
  <cp:revision>6</cp:revision>
</cp:coreProperties>
</file>