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F4" w:rsidRDefault="00B82CF4" w:rsidP="00B82C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 ЗАПИСКА</w:t>
      </w:r>
    </w:p>
    <w:p w:rsidR="00B82CF4" w:rsidRDefault="00B82CF4" w:rsidP="00B82C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прогнозу социально- экономического развития Старотушкинс</w:t>
      </w:r>
      <w:r w:rsidR="00E05893">
        <w:rPr>
          <w:b/>
          <w:sz w:val="28"/>
          <w:szCs w:val="28"/>
        </w:rPr>
        <w:t>кого сельского поселения на 2019 год и плановый период до 2021</w:t>
      </w:r>
      <w:r>
        <w:rPr>
          <w:b/>
          <w:sz w:val="28"/>
          <w:szCs w:val="28"/>
        </w:rPr>
        <w:t xml:space="preserve"> года</w:t>
      </w:r>
    </w:p>
    <w:p w:rsidR="00B82CF4" w:rsidRDefault="00B82CF4" w:rsidP="00B82CF4">
      <w:pPr>
        <w:rPr>
          <w:b/>
          <w:sz w:val="28"/>
          <w:szCs w:val="28"/>
        </w:rPr>
      </w:pPr>
    </w:p>
    <w:p w:rsidR="00B82CF4" w:rsidRDefault="00B82CF4" w:rsidP="00B82CF4">
      <w:pPr>
        <w:spacing w:line="360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8"/>
          <w:szCs w:val="28"/>
        </w:rPr>
        <w:t>Прогноз социально-экономического развития Старотушк</w:t>
      </w:r>
      <w:r w:rsidR="00E05893">
        <w:rPr>
          <w:color w:val="333333"/>
          <w:sz w:val="28"/>
          <w:szCs w:val="28"/>
        </w:rPr>
        <w:t>инского сельского поселения 2019-2021</w:t>
      </w:r>
      <w:r>
        <w:rPr>
          <w:color w:val="333333"/>
          <w:sz w:val="28"/>
          <w:szCs w:val="28"/>
        </w:rPr>
        <w:t>гг. разработан в соответствии с законодательством Российской Федерации и постановлением администрации Старотушкинского сельского поселения.</w:t>
      </w:r>
      <w:r>
        <w:rPr>
          <w:rStyle w:val="apple-converted-space"/>
          <w:color w:val="333333"/>
          <w:sz w:val="28"/>
          <w:szCs w:val="28"/>
        </w:rPr>
        <w:t> </w:t>
      </w:r>
    </w:p>
    <w:p w:rsidR="00B82CF4" w:rsidRDefault="00B82CF4" w:rsidP="00B82CF4">
      <w:pPr>
        <w:spacing w:line="360" w:lineRule="auto"/>
        <w:ind w:firstLine="709"/>
        <w:jc w:val="both"/>
        <w:rPr>
          <w:rStyle w:val="apple-converted-space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За основу прогноза взяты статистические </w:t>
      </w:r>
      <w:r w:rsidR="00E05893">
        <w:rPr>
          <w:color w:val="333333"/>
          <w:sz w:val="28"/>
          <w:szCs w:val="28"/>
        </w:rPr>
        <w:t xml:space="preserve">отчетные данные </w:t>
      </w:r>
      <w:r>
        <w:rPr>
          <w:color w:val="333333"/>
          <w:sz w:val="28"/>
          <w:szCs w:val="28"/>
        </w:rPr>
        <w:t xml:space="preserve"> и сведения по перспективе развития сельского поселения, с учетом итогов социально-экономического развития СПК-СХА (колхоза) имени Мичурина и личных подсобных хозяйств  за фактический период и оценке текущего года.</w:t>
      </w:r>
      <w:r>
        <w:rPr>
          <w:rStyle w:val="apple-converted-space"/>
          <w:color w:val="333333"/>
          <w:sz w:val="28"/>
          <w:szCs w:val="28"/>
        </w:rPr>
        <w:t> </w:t>
      </w:r>
    </w:p>
    <w:p w:rsidR="00B82CF4" w:rsidRDefault="00B82CF4" w:rsidP="00B82CF4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Имеющийся потенциал территории Старотушкинского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B82CF4" w:rsidRDefault="00B82CF4" w:rsidP="00B82C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Старотушкинского сельского поселения входят пять населенных пунктов.</w:t>
      </w:r>
    </w:p>
    <w:p w:rsidR="00B82CF4" w:rsidRDefault="00B82CF4" w:rsidP="00B82C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</w:t>
      </w:r>
      <w:r w:rsidR="00E05893">
        <w:rPr>
          <w:sz w:val="28"/>
          <w:szCs w:val="28"/>
        </w:rPr>
        <w:t xml:space="preserve">ождаемостью. </w:t>
      </w:r>
      <w:r w:rsidR="00E05893">
        <w:rPr>
          <w:sz w:val="28"/>
          <w:szCs w:val="28"/>
        </w:rPr>
        <w:tab/>
        <w:t>По прогнозу в 2019</w:t>
      </w:r>
      <w:r>
        <w:rPr>
          <w:sz w:val="28"/>
          <w:szCs w:val="28"/>
        </w:rPr>
        <w:t xml:space="preserve"> году ожидаемая численность постоянного населения </w:t>
      </w:r>
      <w:r w:rsidR="00E05893">
        <w:rPr>
          <w:sz w:val="28"/>
          <w:szCs w:val="28"/>
        </w:rPr>
        <w:t>в сельском поселении составит 115</w:t>
      </w:r>
      <w:r>
        <w:rPr>
          <w:sz w:val="28"/>
          <w:szCs w:val="28"/>
        </w:rPr>
        <w:t xml:space="preserve">0 человека. Численность трудовых </w:t>
      </w:r>
      <w:r w:rsidR="00E05893">
        <w:rPr>
          <w:sz w:val="28"/>
          <w:szCs w:val="28"/>
        </w:rPr>
        <w:t>ресурсов в 2019</w:t>
      </w:r>
      <w:r>
        <w:rPr>
          <w:sz w:val="28"/>
          <w:szCs w:val="28"/>
        </w:rPr>
        <w:t xml:space="preserve"> г</w:t>
      </w:r>
      <w:r w:rsidR="00E05893">
        <w:rPr>
          <w:sz w:val="28"/>
          <w:szCs w:val="28"/>
        </w:rPr>
        <w:t>оду составит 308 человек, или 26</w:t>
      </w:r>
      <w:r>
        <w:rPr>
          <w:sz w:val="28"/>
          <w:szCs w:val="28"/>
        </w:rPr>
        <w:t>% от общей численности населения сельского поселения. В прогнозируемый период численность трудовых ресурсов снизится, так же, как и численность занятых в экономике и в социальной сфере.</w:t>
      </w:r>
    </w:p>
    <w:p w:rsidR="00B82CF4" w:rsidRDefault="00B82CF4" w:rsidP="00B82C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Уровень зарегистрированной</w:t>
      </w:r>
      <w:r w:rsidR="00E05893">
        <w:rPr>
          <w:sz w:val="28"/>
          <w:szCs w:val="28"/>
        </w:rPr>
        <w:t xml:space="preserve"> безработицы по прогнозу к  2019</w:t>
      </w:r>
      <w:r>
        <w:rPr>
          <w:sz w:val="28"/>
          <w:szCs w:val="28"/>
        </w:rPr>
        <w:t xml:space="preserve"> году предполагается в пределах 2%.</w:t>
      </w:r>
    </w:p>
    <w:p w:rsidR="00B82CF4" w:rsidRDefault="00B82CF4" w:rsidP="00B82C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  Старотушкинское сельское поселение обладает значительным экономическим потенциалом. Ведущей отраслью является сельское хозяйство. На территории поселения работает один колхоз.</w:t>
      </w:r>
    </w:p>
    <w:p w:rsidR="00B82CF4" w:rsidRDefault="00B82CF4" w:rsidP="00B82C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Значительную долю занимает также торговля. По прогнозу социально-экономического развития число зарегистрированных индиви</w:t>
      </w:r>
      <w:r w:rsidR="00E05893">
        <w:rPr>
          <w:sz w:val="28"/>
          <w:szCs w:val="28"/>
        </w:rPr>
        <w:t>дуальных предпринимателей в 2019 году составит 5</w:t>
      </w:r>
      <w:r>
        <w:rPr>
          <w:sz w:val="28"/>
          <w:szCs w:val="28"/>
        </w:rPr>
        <w:t xml:space="preserve"> человек. </w:t>
      </w:r>
    </w:p>
    <w:p w:rsidR="00B82CF4" w:rsidRDefault="00B82CF4" w:rsidP="00B82CF4">
      <w:pPr>
        <w:spacing w:line="360" w:lineRule="auto"/>
        <w:ind w:firstLine="680"/>
        <w:jc w:val="both"/>
        <w:rPr>
          <w:rFonts w:eastAsia="A"/>
          <w:sz w:val="28"/>
          <w:szCs w:val="28"/>
        </w:rPr>
      </w:pPr>
      <w:r>
        <w:rPr>
          <w:bCs/>
          <w:sz w:val="28"/>
          <w:szCs w:val="28"/>
        </w:rPr>
        <w:t xml:space="preserve">Удовлетворение потребностей в жилище, улучшение жилищных условий населения </w:t>
      </w:r>
      <w:r>
        <w:rPr>
          <w:sz w:val="28"/>
          <w:szCs w:val="28"/>
        </w:rPr>
        <w:t>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 Основной проблемой в жилищно-коммунальном хозяйстве является высокий уровень морального и физического износа коммунальной инфраструктуры и жилищного фонда.</w:t>
      </w:r>
    </w:p>
    <w:p w:rsidR="00B82CF4" w:rsidRDefault="00B82CF4" w:rsidP="00B82CF4">
      <w:pPr>
        <w:spacing w:line="360" w:lineRule="auto"/>
        <w:ind w:firstLine="68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Требуется более интенсивный капитальный ремонт жилищного фонда, его санация для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, сокращение потерь и утечки при транспортировке материального носителя коммунальной услуги, что позволит снизить завышенные нормативы потребления, а также расход электроэнергии, топлива и других ресурсов. 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задачи, стоящие перед органами</w:t>
      </w:r>
      <w:r w:rsidR="00E05893">
        <w:rPr>
          <w:sz w:val="28"/>
          <w:szCs w:val="28"/>
        </w:rPr>
        <w:t xml:space="preserve"> местного самоуправления на 2019 год и плановый период до 2021</w:t>
      </w:r>
      <w:r>
        <w:rPr>
          <w:sz w:val="28"/>
          <w:szCs w:val="28"/>
        </w:rPr>
        <w:t xml:space="preserve"> года: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новых рабочих мест;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занятости населения и рост реальных денежных доходов;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экономического развития и роста объемов сельскохозяйственного производства;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малого предпринимательства;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предоставляемых муниципальных услуг;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материально-технической базы учреждений культуры;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создание комфортных и безопасных условий проживания населения;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качества предоставляемых коммунальных услуг;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услуг связи, торговли, общественного питания, бытового обслуживания;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инфраструктуры связи, доступа к современным информационным технологиям;</w:t>
      </w:r>
    </w:p>
    <w:p w:rsidR="00B82CF4" w:rsidRDefault="00B82CF4" w:rsidP="00B82CF4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B82CF4" w:rsidRDefault="00B82CF4" w:rsidP="00B82C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 w:hanging="18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реализация</w:t>
      </w:r>
      <w:r>
        <w:rPr>
          <w:sz w:val="28"/>
          <w:szCs w:val="28"/>
        </w:rPr>
        <w:t xml:space="preserve"> первоочередных мер по противопожарной защите  </w:t>
      </w:r>
      <w:r>
        <w:rPr>
          <w:spacing w:val="-1"/>
          <w:sz w:val="28"/>
          <w:szCs w:val="28"/>
        </w:rPr>
        <w:t xml:space="preserve">объектов сельского поселения, </w:t>
      </w:r>
      <w:r>
        <w:rPr>
          <w:sz w:val="28"/>
          <w:szCs w:val="28"/>
        </w:rPr>
        <w:t>совершенствование противопожарной  пропаганды.</w:t>
      </w:r>
    </w:p>
    <w:p w:rsidR="00B82CF4" w:rsidRDefault="00E05893" w:rsidP="00E05893">
      <w:pPr>
        <w:spacing w:line="360" w:lineRule="auto"/>
        <w:ind w:left="142" w:firstLine="680"/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____________</w:t>
      </w:r>
      <w:bookmarkStart w:id="0" w:name="_GoBack"/>
      <w:bookmarkEnd w:id="0"/>
    </w:p>
    <w:p w:rsidR="00B82CF4" w:rsidRDefault="00B82CF4" w:rsidP="00B82CF4">
      <w:pPr>
        <w:ind w:firstLine="680"/>
        <w:jc w:val="both"/>
        <w:rPr>
          <w:rFonts w:eastAsia="A"/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jc w:val="both"/>
        <w:rPr>
          <w:sz w:val="28"/>
          <w:szCs w:val="28"/>
          <w:lang w:eastAsia="ru-RU"/>
        </w:rPr>
      </w:pPr>
    </w:p>
    <w:p w:rsidR="00B82CF4" w:rsidRDefault="00B82CF4" w:rsidP="00B82CF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tabs>
          <w:tab w:val="left" w:pos="7400"/>
        </w:tabs>
        <w:ind w:left="5103"/>
        <w:rPr>
          <w:sz w:val="28"/>
          <w:szCs w:val="28"/>
        </w:rPr>
      </w:pPr>
    </w:p>
    <w:p w:rsidR="00B82CF4" w:rsidRDefault="00B82CF4" w:rsidP="00B82CF4">
      <w:pPr>
        <w:jc w:val="both"/>
        <w:rPr>
          <w:sz w:val="28"/>
          <w:szCs w:val="28"/>
        </w:rPr>
      </w:pPr>
    </w:p>
    <w:p w:rsidR="00307950" w:rsidRDefault="00307950"/>
    <w:sectPr w:rsidR="0030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5C"/>
    <w:rsid w:val="0011675C"/>
    <w:rsid w:val="00307950"/>
    <w:rsid w:val="00B82CF4"/>
    <w:rsid w:val="00E0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82C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82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633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2017-11-16T10:30:00Z</dcterms:created>
  <dcterms:modified xsi:type="dcterms:W3CDTF">2018-10-25T05:33:00Z</dcterms:modified>
</cp:coreProperties>
</file>