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DE" w:rsidRPr="00330E0D" w:rsidRDefault="00FB7138" w:rsidP="00625DD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30E0D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</w:t>
      </w:r>
    </w:p>
    <w:p w:rsidR="00FB7138" w:rsidRPr="00330E0D" w:rsidRDefault="00FB7138" w:rsidP="00625DD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30E0D">
        <w:rPr>
          <w:rFonts w:ascii="Times New Roman" w:hAnsi="Times New Roman" w:cs="Times New Roman"/>
          <w:b/>
          <w:sz w:val="28"/>
          <w:szCs w:val="28"/>
        </w:rPr>
        <w:t xml:space="preserve">по мерам поддержки инвесторам, реализующим </w:t>
      </w:r>
      <w:r w:rsidR="002D51DE" w:rsidRPr="00330E0D">
        <w:rPr>
          <w:rFonts w:ascii="Times New Roman" w:hAnsi="Times New Roman" w:cs="Times New Roman"/>
          <w:b/>
          <w:sz w:val="28"/>
          <w:szCs w:val="28"/>
        </w:rPr>
        <w:t xml:space="preserve">и (или) планирующим реализовать </w:t>
      </w:r>
      <w:r w:rsidRPr="00330E0D">
        <w:rPr>
          <w:rFonts w:ascii="Times New Roman" w:hAnsi="Times New Roman" w:cs="Times New Roman"/>
          <w:b/>
          <w:sz w:val="28"/>
          <w:szCs w:val="28"/>
        </w:rPr>
        <w:t>свои проекты на территории Кировской области</w:t>
      </w:r>
    </w:p>
    <w:p w:rsidR="00FB7138" w:rsidRPr="00330E0D" w:rsidRDefault="00FB7138" w:rsidP="005F0F43">
      <w:pPr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1DFD" w:rsidRPr="00330E0D" w:rsidRDefault="009D4E65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Правительством Кировской области ведется постоянная работа </w:t>
      </w:r>
      <w:r w:rsidR="00A6628F" w:rsidRPr="00330E0D">
        <w:rPr>
          <w:rFonts w:ascii="Times New Roman" w:hAnsi="Times New Roman" w:cs="Times New Roman"/>
          <w:sz w:val="28"/>
          <w:szCs w:val="28"/>
        </w:rPr>
        <w:br/>
      </w:r>
      <w:r w:rsidRPr="00330E0D">
        <w:rPr>
          <w:rFonts w:ascii="Times New Roman" w:hAnsi="Times New Roman" w:cs="Times New Roman"/>
          <w:sz w:val="28"/>
          <w:szCs w:val="28"/>
        </w:rPr>
        <w:t xml:space="preserve">по повышению инвестиционной привлекательности региона, в том числе совершенствуются механизмы поддержки инвестора в рамках реализации инвестиционных проектов, при этом применяются как региональные, </w:t>
      </w:r>
      <w:r w:rsidR="00A6628F" w:rsidRPr="00330E0D">
        <w:rPr>
          <w:rFonts w:ascii="Times New Roman" w:hAnsi="Times New Roman" w:cs="Times New Roman"/>
          <w:sz w:val="28"/>
          <w:szCs w:val="28"/>
        </w:rPr>
        <w:br/>
      </w:r>
      <w:r w:rsidRPr="00330E0D">
        <w:rPr>
          <w:rFonts w:ascii="Times New Roman" w:hAnsi="Times New Roman" w:cs="Times New Roman"/>
          <w:sz w:val="28"/>
          <w:szCs w:val="28"/>
        </w:rPr>
        <w:t>так и федеральные инструменты</w:t>
      </w:r>
      <w:r w:rsidR="00FB7138" w:rsidRPr="00330E0D">
        <w:rPr>
          <w:rFonts w:ascii="Times New Roman" w:hAnsi="Times New Roman" w:cs="Times New Roman"/>
          <w:sz w:val="28"/>
          <w:szCs w:val="28"/>
        </w:rPr>
        <w:t xml:space="preserve"> развития и поддержки</w:t>
      </w:r>
      <w:r w:rsidRPr="00330E0D">
        <w:rPr>
          <w:rFonts w:ascii="Times New Roman" w:hAnsi="Times New Roman" w:cs="Times New Roman"/>
          <w:sz w:val="28"/>
          <w:szCs w:val="28"/>
        </w:rPr>
        <w:t>.</w:t>
      </w:r>
    </w:p>
    <w:p w:rsidR="002A0DC7" w:rsidRPr="00330E0D" w:rsidRDefault="00995FFE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качестве возможных источников финансирования проектов и</w:t>
      </w:r>
      <w:r w:rsidR="002A0DC7" w:rsidRPr="00330E0D">
        <w:rPr>
          <w:rFonts w:ascii="Times New Roman" w:hAnsi="Times New Roman" w:cs="Times New Roman"/>
          <w:sz w:val="28"/>
          <w:szCs w:val="28"/>
        </w:rPr>
        <w:t xml:space="preserve">нвесторам предлагается льготное кредитование. Наиболее </w:t>
      </w:r>
      <w:proofErr w:type="spellStart"/>
      <w:r w:rsidR="002A0DC7" w:rsidRPr="00330E0D">
        <w:rPr>
          <w:rFonts w:ascii="Times New Roman" w:hAnsi="Times New Roman" w:cs="Times New Roman"/>
          <w:sz w:val="28"/>
          <w:szCs w:val="28"/>
        </w:rPr>
        <w:t>востребован</w:t>
      </w:r>
      <w:r w:rsidR="002A0DC7">
        <w:rPr>
          <w:rFonts w:ascii="Times New Roman" w:hAnsi="Times New Roman" w:cs="Times New Roman"/>
          <w:sz w:val="28"/>
          <w:szCs w:val="28"/>
        </w:rPr>
        <w:t>н</w:t>
      </w:r>
      <w:r w:rsidR="002A0DC7" w:rsidRPr="00330E0D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2A0DC7" w:rsidRPr="00330E0D">
        <w:rPr>
          <w:rFonts w:ascii="Times New Roman" w:hAnsi="Times New Roman" w:cs="Times New Roman"/>
          <w:sz w:val="28"/>
          <w:szCs w:val="28"/>
        </w:rPr>
        <w:t xml:space="preserve"> следующие продукты:</w:t>
      </w:r>
    </w:p>
    <w:p w:rsidR="002A0DC7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льготные займы Корпорации МСП на инвестиционные цели </w:t>
      </w:r>
      <w:r w:rsidRPr="00330E0D">
        <w:rPr>
          <w:rFonts w:ascii="Times New Roman" w:hAnsi="Times New Roman" w:cs="Times New Roman"/>
          <w:sz w:val="28"/>
          <w:szCs w:val="28"/>
        </w:rPr>
        <w:br/>
        <w:t xml:space="preserve">и пополнение оборотных средств в размере от 3 млн. рублей </w:t>
      </w:r>
      <w:r w:rsidRPr="00330E0D">
        <w:rPr>
          <w:rFonts w:ascii="Times New Roman" w:hAnsi="Times New Roman" w:cs="Times New Roman"/>
          <w:sz w:val="28"/>
          <w:szCs w:val="28"/>
        </w:rPr>
        <w:br/>
        <w:t>до 1 млрд. рублей по ставке от 8,5 до 9,6%;</w:t>
      </w:r>
    </w:p>
    <w:p w:rsidR="004C5081" w:rsidRPr="00330E0D" w:rsidRDefault="004C5081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>инвесторам, реализующим и (или) планирующим  реализовать свои проекты в моногородах, НКО «Фонд развития моногородов» предоставляет льготные займы в размере от 5 млн.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E0D">
        <w:rPr>
          <w:rFonts w:ascii="Times New Roman" w:hAnsi="Times New Roman" w:cs="Times New Roman"/>
          <w:sz w:val="28"/>
          <w:szCs w:val="28"/>
        </w:rPr>
        <w:t xml:space="preserve">до 1 млрд. рублей на срок </w:t>
      </w:r>
      <w:r>
        <w:rPr>
          <w:rFonts w:ascii="Times New Roman" w:hAnsi="Times New Roman" w:cs="Times New Roman"/>
          <w:sz w:val="28"/>
          <w:szCs w:val="28"/>
        </w:rPr>
        <w:br/>
      </w:r>
      <w:r w:rsidRPr="00330E0D">
        <w:rPr>
          <w:rFonts w:ascii="Times New Roman" w:hAnsi="Times New Roman" w:cs="Times New Roman"/>
          <w:sz w:val="28"/>
          <w:szCs w:val="28"/>
        </w:rPr>
        <w:t>до 15 лет по ставке от 0 до 5%, при этом действует отсрочка первого платежа до трех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502F" w:rsidRPr="00330E0D" w:rsidRDefault="009C502F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займы, предоставляемые </w:t>
      </w:r>
      <w:r w:rsidRPr="009C502F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>ом развития промышленности РФ</w:t>
      </w:r>
      <w:r w:rsidRPr="009C502F">
        <w:rPr>
          <w:rFonts w:ascii="Times New Roman" w:hAnsi="Times New Roman" w:cs="Times New Roman"/>
          <w:sz w:val="28"/>
          <w:szCs w:val="28"/>
        </w:rPr>
        <w:t xml:space="preserve"> по ставке 1</w:t>
      </w:r>
      <w:r w:rsidR="004C5081">
        <w:rPr>
          <w:rFonts w:ascii="Times New Roman" w:hAnsi="Times New Roman" w:cs="Times New Roman"/>
          <w:sz w:val="28"/>
          <w:szCs w:val="28"/>
        </w:rPr>
        <w:t>-</w:t>
      </w:r>
      <w:r w:rsidRPr="009C502F">
        <w:rPr>
          <w:rFonts w:ascii="Times New Roman" w:hAnsi="Times New Roman" w:cs="Times New Roman"/>
          <w:sz w:val="28"/>
          <w:szCs w:val="28"/>
        </w:rPr>
        <w:t>5% годовых сроком до 7 лет в объеме от 5 до 750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502F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2A0DC7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льготный лизинг от Корпорации МСП при сумме финансирования </w:t>
      </w:r>
      <w:r w:rsidRPr="00330E0D">
        <w:rPr>
          <w:rFonts w:ascii="Times New Roman" w:hAnsi="Times New Roman" w:cs="Times New Roman"/>
          <w:sz w:val="28"/>
          <w:szCs w:val="28"/>
        </w:rPr>
        <w:br/>
        <w:t xml:space="preserve">от 5 до 200 млн. рублей по ставке от 6 до 8%; </w:t>
      </w:r>
    </w:p>
    <w:p w:rsidR="002A0DC7" w:rsidRPr="00330E0D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займы, предоставляемые Региональным государственным фондом развития промышленности Кировской области в размере </w:t>
      </w:r>
      <w:r w:rsidRPr="00330E0D">
        <w:rPr>
          <w:rFonts w:ascii="Times New Roman" w:hAnsi="Times New Roman" w:cs="Times New Roman"/>
          <w:sz w:val="28"/>
          <w:szCs w:val="28"/>
        </w:rPr>
        <w:br/>
        <w:t>от 20 до 100 млн. рублей на срок до 5 лет по ставке 1-5%;</w:t>
      </w:r>
    </w:p>
    <w:p w:rsidR="004C5081" w:rsidRDefault="004C5081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займы по линии поддержки </w:t>
      </w:r>
      <w:proofErr w:type="spellStart"/>
      <w:r w:rsidRPr="00330E0D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Pr="00330E0D">
        <w:rPr>
          <w:rFonts w:ascii="Times New Roman" w:hAnsi="Times New Roman" w:cs="Times New Roman"/>
          <w:sz w:val="28"/>
          <w:szCs w:val="28"/>
        </w:rPr>
        <w:t xml:space="preserve"> России в размере </w:t>
      </w:r>
      <w:r w:rsidRPr="00330E0D">
        <w:rPr>
          <w:rFonts w:ascii="Times New Roman" w:hAnsi="Times New Roman" w:cs="Times New Roman"/>
          <w:sz w:val="28"/>
          <w:szCs w:val="28"/>
        </w:rPr>
        <w:br/>
        <w:t>от 20 до 100 млн. рублей на срок не более 5 лет по ставке до 5%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0DC7" w:rsidRPr="00330E0D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льготные займы Кировского областного фонда поддержки предпринимательства в размере до 3 млн. рублей на срок до 36 месяцев, </w:t>
      </w:r>
      <w:r w:rsidRPr="00330E0D">
        <w:rPr>
          <w:rFonts w:ascii="Times New Roman" w:hAnsi="Times New Roman" w:cs="Times New Roman"/>
          <w:sz w:val="28"/>
          <w:szCs w:val="28"/>
        </w:rPr>
        <w:br/>
        <w:t xml:space="preserve">по ставке от 6 до </w:t>
      </w:r>
      <w:r w:rsidR="004C5081">
        <w:rPr>
          <w:rFonts w:ascii="Times New Roman" w:hAnsi="Times New Roman" w:cs="Times New Roman"/>
          <w:sz w:val="28"/>
          <w:szCs w:val="28"/>
        </w:rPr>
        <w:t>9,5%.</w:t>
      </w:r>
    </w:p>
    <w:p w:rsidR="002A0DC7" w:rsidRPr="00330E0D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по линии поддержки </w:t>
      </w:r>
      <w:proofErr w:type="spellStart"/>
      <w:r w:rsidRPr="00330E0D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Pr="00330E0D">
        <w:rPr>
          <w:rFonts w:ascii="Times New Roman" w:hAnsi="Times New Roman" w:cs="Times New Roman"/>
          <w:sz w:val="28"/>
          <w:szCs w:val="28"/>
        </w:rPr>
        <w:t xml:space="preserve"> России в размере до 90% затрат на производство отдельных видов продукции, в том числе процентов по кредитам.</w:t>
      </w:r>
    </w:p>
    <w:p w:rsidR="002A0DC7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возможно взаимодействие с иными институтами развития и кредитными учреждениями.</w:t>
      </w:r>
    </w:p>
    <w:p w:rsidR="002A0DC7" w:rsidRPr="00330E0D" w:rsidRDefault="002A0DC7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Следует отметить, что в Кировской области 11 моногородов. В целях снятия инфраструктурных ограничений имеется возможность привлечения средств некоммерческой организации «Фонд развития моногородов» </w:t>
      </w:r>
      <w:r w:rsidRPr="00330E0D">
        <w:rPr>
          <w:rFonts w:ascii="Times New Roman" w:hAnsi="Times New Roman" w:cs="Times New Roman"/>
          <w:sz w:val="28"/>
          <w:szCs w:val="28"/>
        </w:rPr>
        <w:br/>
        <w:t xml:space="preserve">на создание объектов транспортной, инженерной и коммунальной инфраструктуры, необходимых для реализации инвестиционных проектов </w:t>
      </w:r>
      <w:r w:rsidRPr="00330E0D">
        <w:rPr>
          <w:rFonts w:ascii="Times New Roman" w:hAnsi="Times New Roman" w:cs="Times New Roman"/>
          <w:sz w:val="28"/>
          <w:szCs w:val="28"/>
        </w:rPr>
        <w:br/>
        <w:t>в моногородах.</w:t>
      </w:r>
    </w:p>
    <w:p w:rsidR="002A0DC7" w:rsidRDefault="00244D88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стоит остановиться на возможных к предоставлению</w:t>
      </w:r>
      <w:r w:rsidR="004C5081">
        <w:rPr>
          <w:rFonts w:ascii="Times New Roman" w:hAnsi="Times New Roman" w:cs="Times New Roman"/>
          <w:sz w:val="28"/>
          <w:szCs w:val="28"/>
        </w:rPr>
        <w:t xml:space="preserve"> преференциях</w:t>
      </w:r>
      <w:r w:rsidR="002E3198">
        <w:rPr>
          <w:rFonts w:ascii="Times New Roman" w:hAnsi="Times New Roman" w:cs="Times New Roman"/>
          <w:sz w:val="28"/>
          <w:szCs w:val="28"/>
        </w:rPr>
        <w:t xml:space="preserve"> по налогам</w:t>
      </w:r>
      <w:r>
        <w:rPr>
          <w:rFonts w:ascii="Times New Roman" w:hAnsi="Times New Roman" w:cs="Times New Roman"/>
          <w:sz w:val="28"/>
          <w:szCs w:val="28"/>
        </w:rPr>
        <w:t xml:space="preserve"> и иным платежам в бюджет</w:t>
      </w:r>
      <w:r w:rsidR="002E3198">
        <w:rPr>
          <w:rFonts w:ascii="Times New Roman" w:hAnsi="Times New Roman" w:cs="Times New Roman"/>
          <w:sz w:val="28"/>
          <w:szCs w:val="28"/>
        </w:rPr>
        <w:t>:</w:t>
      </w:r>
    </w:p>
    <w:p w:rsidR="009D4E65" w:rsidRDefault="009D4E65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>налоговые льготы (по налогу на имущество организаций в виде дифференцированных н</w:t>
      </w:r>
      <w:r w:rsidR="00FB7138" w:rsidRPr="00330E0D">
        <w:rPr>
          <w:rFonts w:ascii="Times New Roman" w:hAnsi="Times New Roman" w:cs="Times New Roman"/>
          <w:sz w:val="28"/>
          <w:szCs w:val="28"/>
        </w:rPr>
        <w:t>алоговых ставок в размере от 0</w:t>
      </w:r>
      <w:r w:rsidRPr="00330E0D">
        <w:rPr>
          <w:rFonts w:ascii="Times New Roman" w:hAnsi="Times New Roman" w:cs="Times New Roman"/>
          <w:sz w:val="28"/>
          <w:szCs w:val="28"/>
        </w:rPr>
        <w:t>% до 1,3%, по налогу на прибыль организаций в виде пониженной налоговой ставки в размере 13,5% (0% для организаций, получивших статус участников специальных инвестиционных контрактов);</w:t>
      </w:r>
    </w:p>
    <w:p w:rsidR="002E3198" w:rsidRPr="00330E0D" w:rsidRDefault="002E3198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>установление льготной ставки арендной платы за пользование недвижимым имуществом, находящимся в государственной собственности Кировской области;</w:t>
      </w:r>
    </w:p>
    <w:p w:rsidR="002E3198" w:rsidRPr="00330E0D" w:rsidRDefault="002E3198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установление льготной базовой ставки арендной платы за земельные участки, государственная собственность на которые не разграничена, </w:t>
      </w:r>
      <w:r w:rsidRPr="00330E0D">
        <w:rPr>
          <w:rFonts w:ascii="Times New Roman" w:hAnsi="Times New Roman" w:cs="Times New Roman"/>
          <w:sz w:val="28"/>
          <w:szCs w:val="28"/>
        </w:rPr>
        <w:br/>
        <w:t>и земельные участки, находящиеся в собственности Кировской области;</w:t>
      </w:r>
    </w:p>
    <w:p w:rsidR="00244D88" w:rsidRDefault="002E3198" w:rsidP="00555C04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 w:rsidRPr="00330E0D">
        <w:rPr>
          <w:color w:val="010101"/>
          <w:sz w:val="28"/>
          <w:szCs w:val="28"/>
        </w:rPr>
        <w:t xml:space="preserve">предоставление земельных участков в аренду без проведения торгов </w:t>
      </w:r>
      <w:r w:rsidRPr="00330E0D">
        <w:rPr>
          <w:color w:val="010101"/>
          <w:sz w:val="28"/>
          <w:szCs w:val="28"/>
        </w:rPr>
        <w:br/>
        <w:t>для организаций, реализующих масштабные инвестиционные проекты.</w:t>
      </w:r>
    </w:p>
    <w:p w:rsidR="00555C04" w:rsidRPr="002E3198" w:rsidRDefault="00555C04" w:rsidP="00555C04">
      <w:pPr>
        <w:pStyle w:val="a3"/>
        <w:spacing w:before="0" w:beforeAutospacing="0" w:after="0" w:afterAutospacing="0" w:line="312" w:lineRule="auto"/>
        <w:ind w:firstLine="709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Данные преференции предоставляются при условии заключения инвестиционного соглашения, в перечень обязательств инвестора по которому входит как локализация производства на территории региона, так и создание постоянных рабочих мест, привлечение инвестиций в объекты капитальных вложений, а также бюджетный эффект, полученный в рамках реализации инвестиционного проекта.</w:t>
      </w:r>
    </w:p>
    <w:p w:rsidR="00244D88" w:rsidRDefault="00555C04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2E3198">
        <w:rPr>
          <w:rFonts w:ascii="Times New Roman" w:hAnsi="Times New Roman" w:cs="Times New Roman"/>
          <w:sz w:val="28"/>
          <w:szCs w:val="28"/>
        </w:rPr>
        <w:t xml:space="preserve"> </w:t>
      </w:r>
      <w:r w:rsidR="00244D88" w:rsidRPr="00330E0D">
        <w:rPr>
          <w:rFonts w:ascii="Times New Roman" w:hAnsi="Times New Roman" w:cs="Times New Roman"/>
          <w:sz w:val="28"/>
          <w:szCs w:val="28"/>
        </w:rPr>
        <w:t>в настоящее время прорабатывается вопрос о внедрении на территории региона налоговой льготы инвесторам в виде инвестиционного налогового вычета, возмещения затрат инвестора на создание объектов коммунальной и инженерной инфраструктуры, необходимых</w:t>
      </w:r>
      <w:r w:rsidR="00244D88">
        <w:rPr>
          <w:rFonts w:ascii="Times New Roman" w:hAnsi="Times New Roman" w:cs="Times New Roman"/>
          <w:sz w:val="28"/>
          <w:szCs w:val="28"/>
        </w:rPr>
        <w:t xml:space="preserve"> </w:t>
      </w:r>
      <w:r w:rsidR="00244D88" w:rsidRPr="00330E0D">
        <w:rPr>
          <w:rFonts w:ascii="Times New Roman" w:hAnsi="Times New Roman" w:cs="Times New Roman"/>
          <w:sz w:val="28"/>
          <w:szCs w:val="28"/>
        </w:rPr>
        <w:t>для реализации инвестиционных проектов.</w:t>
      </w:r>
    </w:p>
    <w:p w:rsidR="009D4E65" w:rsidRPr="00330E0D" w:rsidRDefault="00555C04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9D4E65" w:rsidRPr="00330E0D">
        <w:rPr>
          <w:rFonts w:ascii="Times New Roman" w:hAnsi="Times New Roman" w:cs="Times New Roman"/>
          <w:sz w:val="28"/>
          <w:szCs w:val="28"/>
        </w:rPr>
        <w:t xml:space="preserve"> на территории Кировской области созданы две территории опережающего социально-экономического развити</w:t>
      </w:r>
      <w:r w:rsidR="00A6628F" w:rsidRPr="00330E0D">
        <w:rPr>
          <w:rFonts w:ascii="Times New Roman" w:hAnsi="Times New Roman" w:cs="Times New Roman"/>
          <w:sz w:val="28"/>
          <w:szCs w:val="28"/>
        </w:rPr>
        <w:t xml:space="preserve">я в моногородах Белая Холуница </w:t>
      </w:r>
      <w:r w:rsidR="009D4E65" w:rsidRPr="00330E0D">
        <w:rPr>
          <w:rFonts w:ascii="Times New Roman" w:hAnsi="Times New Roman" w:cs="Times New Roman"/>
          <w:sz w:val="28"/>
          <w:szCs w:val="28"/>
        </w:rPr>
        <w:t>и Вятские Поляны, резидентам которых предоставляются следующие преференции:</w:t>
      </w:r>
    </w:p>
    <w:p w:rsidR="00A613FE" w:rsidRPr="00330E0D" w:rsidRDefault="00A613FE" w:rsidP="00625DD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36"/>
        <w:gridCol w:w="2835"/>
        <w:gridCol w:w="3969"/>
      </w:tblGrid>
      <w:tr w:rsidR="00A613FE" w:rsidRPr="00330E0D" w:rsidTr="00625DD1">
        <w:trPr>
          <w:trHeight w:val="154"/>
          <w:tblHeader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Условия/базовые ставки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Преференции на ТОСЭР</w:t>
            </w:r>
          </w:p>
        </w:tc>
      </w:tr>
      <w:tr w:rsidR="00FB7138" w:rsidRPr="00330E0D" w:rsidTr="00625DD1">
        <w:trPr>
          <w:trHeight w:val="198"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7138" w:rsidRPr="005F0F43" w:rsidRDefault="00FB7138" w:rsidP="005F0F43">
            <w:pPr>
              <w:contextualSpacing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Страховые взносы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7138" w:rsidRPr="005F0F43" w:rsidRDefault="00FB7138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7138" w:rsidRPr="005F0F43" w:rsidRDefault="00FB7138" w:rsidP="005F0F43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7,6%</w:t>
            </w:r>
          </w:p>
        </w:tc>
      </w:tr>
      <w:tr w:rsidR="00A613FE" w:rsidRPr="00330E0D" w:rsidTr="00625DD1">
        <w:trPr>
          <w:trHeight w:val="610"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Ставка федеральной части налога на прибыль 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первые 5 лет </w:t>
            </w: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после получения прибыли от деятельности в рамках ТОСЭР</w:t>
            </w:r>
          </w:p>
        </w:tc>
      </w:tr>
      <w:tr w:rsidR="00A613FE" w:rsidRPr="00330E0D" w:rsidTr="00625DD1">
        <w:trPr>
          <w:trHeight w:val="429"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Ставка региональной части налога на прибыль 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3FE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1-5 годы </w:t>
            </w: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5%</w:t>
            </w:r>
          </w:p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6-10 годы </w:t>
            </w: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10%</w:t>
            </w:r>
          </w:p>
        </w:tc>
      </w:tr>
      <w:tr w:rsidR="00A613FE" w:rsidRPr="00330E0D" w:rsidTr="00625DD1">
        <w:trPr>
          <w:trHeight w:val="198"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2,2%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</w:tr>
      <w:tr w:rsidR="00A613FE" w:rsidRPr="00330E0D" w:rsidTr="00625DD1">
        <w:trPr>
          <w:trHeight w:val="28"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1,5%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</w:tr>
      <w:tr w:rsidR="00A613FE" w:rsidRPr="00330E0D" w:rsidTr="00625DD1">
        <w:trPr>
          <w:trHeight w:val="223"/>
        </w:trPr>
        <w:tc>
          <w:tcPr>
            <w:tcW w:w="28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возмещения НДС</w:t>
            </w:r>
          </w:p>
        </w:tc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>обычный порядок</w:t>
            </w:r>
          </w:p>
        </w:tc>
        <w:tc>
          <w:tcPr>
            <w:tcW w:w="396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77C8" w:rsidRPr="005F0F43" w:rsidRDefault="00A613FE" w:rsidP="005F0F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0F43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заявительный</w:t>
            </w:r>
            <w:r w:rsidRPr="005F0F43">
              <w:rPr>
                <w:rFonts w:ascii="Times New Roman" w:hAnsi="Times New Roman" w:cs="Times New Roman"/>
                <w:sz w:val="24"/>
                <w:szCs w:val="24"/>
              </w:rPr>
              <w:t xml:space="preserve"> (до завершения камеральной проверки)</w:t>
            </w:r>
          </w:p>
        </w:tc>
      </w:tr>
    </w:tbl>
    <w:p w:rsidR="009D4E65" w:rsidRPr="00330E0D" w:rsidRDefault="009D4E65" w:rsidP="005F0F43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19A5" w:rsidRDefault="00555C04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150B" w:rsidRPr="0049150B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49150B">
        <w:rPr>
          <w:rFonts w:ascii="Times New Roman" w:hAnsi="Times New Roman" w:cs="Times New Roman"/>
          <w:sz w:val="28"/>
          <w:szCs w:val="28"/>
        </w:rPr>
        <w:t xml:space="preserve">развития экспорта в Кировской области </w:t>
      </w:r>
      <w:r w:rsidR="0049150B" w:rsidRPr="0049150B">
        <w:rPr>
          <w:rFonts w:ascii="Times New Roman" w:hAnsi="Times New Roman" w:cs="Times New Roman"/>
          <w:sz w:val="28"/>
          <w:szCs w:val="28"/>
        </w:rPr>
        <w:t xml:space="preserve">создан Центр поддержки экспорта. Центр проводит маркетинговые исследования зарубежных рынков, организует участие предпринимателей области                                   в выставочно-ярмарочных мероприятиях, проводит встречи и переговоры                      с иностранными партнерами, а также организует деловые миссии                                       в зарубежные государства. </w:t>
      </w:r>
      <w:r w:rsidR="0049150B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9150B" w:rsidRPr="0049150B">
        <w:rPr>
          <w:rFonts w:ascii="Times New Roman" w:hAnsi="Times New Roman" w:cs="Times New Roman"/>
          <w:sz w:val="28"/>
          <w:szCs w:val="28"/>
        </w:rPr>
        <w:t xml:space="preserve">Центр оказывает софинансирование субъектам малого и среднего предпринимательства до 80% затрат </w:t>
      </w:r>
      <w:r w:rsidR="0049150B">
        <w:rPr>
          <w:rFonts w:ascii="Times New Roman" w:hAnsi="Times New Roman" w:cs="Times New Roman"/>
          <w:sz w:val="28"/>
          <w:szCs w:val="28"/>
        </w:rPr>
        <w:br/>
      </w:r>
      <w:r w:rsidR="0049150B" w:rsidRPr="0049150B">
        <w:rPr>
          <w:rFonts w:ascii="Times New Roman" w:hAnsi="Times New Roman" w:cs="Times New Roman"/>
          <w:sz w:val="28"/>
          <w:szCs w:val="28"/>
        </w:rPr>
        <w:t>(но не более 1 млн. рублей)</w:t>
      </w:r>
      <w:r w:rsidR="0049150B">
        <w:rPr>
          <w:rFonts w:ascii="Times New Roman" w:hAnsi="Times New Roman" w:cs="Times New Roman"/>
          <w:sz w:val="28"/>
          <w:szCs w:val="28"/>
        </w:rPr>
        <w:t xml:space="preserve"> </w:t>
      </w:r>
      <w:r w:rsidR="0049150B" w:rsidRPr="0049150B">
        <w:rPr>
          <w:rFonts w:ascii="Times New Roman" w:hAnsi="Times New Roman" w:cs="Times New Roman"/>
          <w:sz w:val="28"/>
          <w:szCs w:val="28"/>
        </w:rPr>
        <w:t xml:space="preserve">на сертификацию продукции. </w:t>
      </w:r>
      <w:r w:rsidR="0049150B">
        <w:rPr>
          <w:rFonts w:ascii="Times New Roman" w:hAnsi="Times New Roman" w:cs="Times New Roman"/>
          <w:sz w:val="28"/>
          <w:szCs w:val="28"/>
        </w:rPr>
        <w:t>п</w:t>
      </w:r>
      <w:r w:rsidR="0049150B" w:rsidRPr="0049150B">
        <w:rPr>
          <w:rFonts w:ascii="Times New Roman" w:hAnsi="Times New Roman" w:cs="Times New Roman"/>
          <w:sz w:val="28"/>
          <w:szCs w:val="28"/>
        </w:rPr>
        <w:t>родукция проходит сертификацию</w:t>
      </w:r>
      <w:r w:rsidR="0049150B">
        <w:rPr>
          <w:rFonts w:ascii="Times New Roman" w:hAnsi="Times New Roman" w:cs="Times New Roman"/>
          <w:sz w:val="28"/>
          <w:szCs w:val="28"/>
        </w:rPr>
        <w:t xml:space="preserve"> </w:t>
      </w:r>
      <w:r w:rsidR="0049150B" w:rsidRPr="0049150B">
        <w:rPr>
          <w:rFonts w:ascii="Times New Roman" w:hAnsi="Times New Roman" w:cs="Times New Roman"/>
          <w:sz w:val="28"/>
          <w:szCs w:val="28"/>
        </w:rPr>
        <w:t xml:space="preserve">по следующим стандартам: FSC, ISO, CE, GL. </w:t>
      </w:r>
    </w:p>
    <w:p w:rsidR="00445530" w:rsidRDefault="007B1EDF" w:rsidP="00555C0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0D">
        <w:rPr>
          <w:rFonts w:ascii="Times New Roman" w:hAnsi="Times New Roman" w:cs="Times New Roman"/>
          <w:sz w:val="28"/>
          <w:szCs w:val="28"/>
        </w:rPr>
        <w:t xml:space="preserve">Дополнительно сообщаем, что </w:t>
      </w:r>
      <w:r w:rsidR="002D51DE" w:rsidRPr="00330E0D">
        <w:rPr>
          <w:rFonts w:ascii="Times New Roman" w:hAnsi="Times New Roman" w:cs="Times New Roman"/>
          <w:sz w:val="28"/>
          <w:szCs w:val="28"/>
        </w:rPr>
        <w:t>на территории региона осуществляют деятельность КОГКУ «Агентство по развитию моногородов Кировской области», АО «Корпорация развития Кировской области»</w:t>
      </w:r>
      <w:r w:rsidR="00A6628F" w:rsidRPr="00330E0D">
        <w:rPr>
          <w:rFonts w:ascii="Times New Roman" w:hAnsi="Times New Roman" w:cs="Times New Roman"/>
          <w:sz w:val="28"/>
          <w:szCs w:val="28"/>
        </w:rPr>
        <w:t xml:space="preserve">, </w:t>
      </w:r>
      <w:r w:rsidR="0049150B">
        <w:rPr>
          <w:rFonts w:ascii="Times New Roman" w:hAnsi="Times New Roman" w:cs="Times New Roman"/>
          <w:sz w:val="28"/>
          <w:szCs w:val="28"/>
        </w:rPr>
        <w:t xml:space="preserve">которые оказывают услуги по </w:t>
      </w:r>
      <w:r w:rsidR="0049150B" w:rsidRPr="00330E0D">
        <w:rPr>
          <w:rFonts w:ascii="Times New Roman" w:hAnsi="Times New Roman" w:cs="Times New Roman"/>
          <w:sz w:val="28"/>
          <w:szCs w:val="28"/>
        </w:rPr>
        <w:t>сопровождени</w:t>
      </w:r>
      <w:r w:rsidR="0049150B">
        <w:rPr>
          <w:rFonts w:ascii="Times New Roman" w:hAnsi="Times New Roman" w:cs="Times New Roman"/>
          <w:sz w:val="28"/>
          <w:szCs w:val="28"/>
        </w:rPr>
        <w:t>ю</w:t>
      </w:r>
      <w:r w:rsidR="0049150B" w:rsidRPr="00330E0D">
        <w:rPr>
          <w:rFonts w:ascii="Times New Roman" w:hAnsi="Times New Roman" w:cs="Times New Roman"/>
          <w:sz w:val="28"/>
          <w:szCs w:val="28"/>
        </w:rPr>
        <w:t xml:space="preserve"> инвестиционных проектов по принципу «одного окна»</w:t>
      </w:r>
      <w:r w:rsidR="0049150B">
        <w:rPr>
          <w:rFonts w:ascii="Times New Roman" w:hAnsi="Times New Roman" w:cs="Times New Roman"/>
          <w:sz w:val="28"/>
          <w:szCs w:val="28"/>
        </w:rPr>
        <w:t>.</w:t>
      </w:r>
    </w:p>
    <w:p w:rsidR="004C5081" w:rsidRDefault="004C5081" w:rsidP="004C5081">
      <w:pPr>
        <w:spacing w:before="720" w:line="36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9D4E65" w:rsidRPr="00330E0D" w:rsidRDefault="00625DD1" w:rsidP="004C5081">
      <w:pPr>
        <w:spacing w:before="720" w:line="360" w:lineRule="exac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D4E65" w:rsidRPr="00330E0D" w:rsidSect="005668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D4E65"/>
    <w:rsid w:val="00006A4C"/>
    <w:rsid w:val="00011F0F"/>
    <w:rsid w:val="00013AA5"/>
    <w:rsid w:val="00014084"/>
    <w:rsid w:val="000A668B"/>
    <w:rsid w:val="000F0B28"/>
    <w:rsid w:val="000F3801"/>
    <w:rsid w:val="00115806"/>
    <w:rsid w:val="00142953"/>
    <w:rsid w:val="001A4B2A"/>
    <w:rsid w:val="001B5257"/>
    <w:rsid w:val="00225BCF"/>
    <w:rsid w:val="00244D88"/>
    <w:rsid w:val="002A0DC7"/>
    <w:rsid w:val="002D51DE"/>
    <w:rsid w:val="002E3198"/>
    <w:rsid w:val="00330E0D"/>
    <w:rsid w:val="003372C5"/>
    <w:rsid w:val="003724E9"/>
    <w:rsid w:val="0038565D"/>
    <w:rsid w:val="00445530"/>
    <w:rsid w:val="0049150B"/>
    <w:rsid w:val="004C5081"/>
    <w:rsid w:val="004E0D83"/>
    <w:rsid w:val="00502566"/>
    <w:rsid w:val="00523EA8"/>
    <w:rsid w:val="005277C8"/>
    <w:rsid w:val="00546400"/>
    <w:rsid w:val="00555C04"/>
    <w:rsid w:val="005653A6"/>
    <w:rsid w:val="005668D9"/>
    <w:rsid w:val="005C7010"/>
    <w:rsid w:val="005E1DFD"/>
    <w:rsid w:val="005F0F43"/>
    <w:rsid w:val="005F2CF9"/>
    <w:rsid w:val="00601103"/>
    <w:rsid w:val="00603BD3"/>
    <w:rsid w:val="00625DD1"/>
    <w:rsid w:val="006973B2"/>
    <w:rsid w:val="006B49ED"/>
    <w:rsid w:val="006C3897"/>
    <w:rsid w:val="006F35AD"/>
    <w:rsid w:val="0072678B"/>
    <w:rsid w:val="00791EED"/>
    <w:rsid w:val="007947EA"/>
    <w:rsid w:val="007A46C9"/>
    <w:rsid w:val="007B1EDF"/>
    <w:rsid w:val="007D4C8F"/>
    <w:rsid w:val="008225BA"/>
    <w:rsid w:val="008B779B"/>
    <w:rsid w:val="00912051"/>
    <w:rsid w:val="0092386B"/>
    <w:rsid w:val="00995FFE"/>
    <w:rsid w:val="009C502F"/>
    <w:rsid w:val="009D4E65"/>
    <w:rsid w:val="009F19A5"/>
    <w:rsid w:val="00A613FE"/>
    <w:rsid w:val="00A6628F"/>
    <w:rsid w:val="00AA4BB8"/>
    <w:rsid w:val="00AE29F0"/>
    <w:rsid w:val="00B22FCE"/>
    <w:rsid w:val="00B45B46"/>
    <w:rsid w:val="00B5743A"/>
    <w:rsid w:val="00BD4DAA"/>
    <w:rsid w:val="00C32400"/>
    <w:rsid w:val="00C51D36"/>
    <w:rsid w:val="00CF62FC"/>
    <w:rsid w:val="00DB6FF8"/>
    <w:rsid w:val="00DC3EA3"/>
    <w:rsid w:val="00E060FA"/>
    <w:rsid w:val="00E11009"/>
    <w:rsid w:val="00EC0CE8"/>
    <w:rsid w:val="00ED113E"/>
    <w:rsid w:val="00F14669"/>
    <w:rsid w:val="00F57B9B"/>
    <w:rsid w:val="00FB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4E6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5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0EC4A-0429-4B4B-A6F9-34CFCF73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2019-07-12T12:51:00Z</cp:lastPrinted>
  <dcterms:created xsi:type="dcterms:W3CDTF">2019-07-12T12:31:00Z</dcterms:created>
  <dcterms:modified xsi:type="dcterms:W3CDTF">2019-07-12T13:25:00Z</dcterms:modified>
</cp:coreProperties>
</file>