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D653C" w:rsidTr="00CD653C">
        <w:tc>
          <w:tcPr>
            <w:tcW w:w="4785" w:type="dxa"/>
          </w:tcPr>
          <w:p w:rsidR="00CD653C" w:rsidRDefault="00CD653C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  <w:tc>
          <w:tcPr>
            <w:tcW w:w="4786" w:type="dxa"/>
          </w:tcPr>
          <w:p w:rsidR="00CD653C" w:rsidRPr="00AB7A81" w:rsidRDefault="00CD653C" w:rsidP="00CD653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Приложение </w:t>
            </w:r>
          </w:p>
          <w:p w:rsidR="00CD653C" w:rsidRPr="00AB7A81" w:rsidRDefault="00CD653C" w:rsidP="00CD653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CD653C" w:rsidRPr="00AB7A81" w:rsidRDefault="00CD653C" w:rsidP="00CD653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CD653C" w:rsidRPr="00AB7A81" w:rsidRDefault="00CD653C" w:rsidP="00CD653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CD653C" w:rsidRPr="00AB7A81" w:rsidRDefault="00CD653C" w:rsidP="00CD653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CD653C" w:rsidRPr="00AB7A81" w:rsidRDefault="00CD653C" w:rsidP="00CD653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Малмыжского района</w:t>
            </w:r>
          </w:p>
          <w:p w:rsidR="00CD653C" w:rsidRPr="00CD653C" w:rsidRDefault="00CD653C" w:rsidP="00CD653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CD653C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от 09.11.2020 № 630</w:t>
            </w:r>
          </w:p>
          <w:p w:rsidR="00CD653C" w:rsidRDefault="00CD653C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Малмыжском районе Кировской области» 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AB7A81" w:rsidRDefault="00AB7A81" w:rsidP="00AB7A81">
      <w:pPr>
        <w:tabs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1276" w:hanging="594"/>
        <w:jc w:val="both"/>
        <w:rPr>
          <w:rFonts w:asciiTheme="minorHAnsi" w:hAnsiTheme="minorHAnsi" w:cs="R"/>
          <w:b/>
          <w:color w:val="auto"/>
          <w:sz w:val="28"/>
          <w:szCs w:val="28"/>
          <w:lang w:eastAsia="ru-RU"/>
        </w:rPr>
      </w:pPr>
    </w:p>
    <w:p w:rsidR="00AB7A81" w:rsidRPr="00CD653C" w:rsidRDefault="00AB7A81" w:rsidP="00CD653C">
      <w:pPr>
        <w:tabs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 xml:space="preserve">Раздел 3 «Обобщенная характеристика мероприятий </w:t>
      </w:r>
      <w:r w:rsidRPr="00CD653C">
        <w:rPr>
          <w:rFonts w:ascii="Times New Roman" w:eastAsia="A" w:hAnsi="Times New Roman"/>
          <w:color w:val="auto"/>
          <w:sz w:val="28"/>
          <w:szCs w:val="28"/>
          <w:lang w:eastAsia="ru-RU"/>
        </w:rPr>
        <w:t>муниципальной П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рограммы» изложить в следующей редакции:</w:t>
      </w:r>
    </w:p>
    <w:p w:rsidR="00AB7A81" w:rsidRPr="00CD653C" w:rsidRDefault="00AB7A81" w:rsidP="00CD653C">
      <w:pPr>
        <w:tabs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1276" w:hanging="594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:rsidR="00AB7A81" w:rsidRPr="00CD653C" w:rsidRDefault="00AB7A81" w:rsidP="00CD653C">
      <w:pPr>
        <w:tabs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1276" w:hanging="594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3. Обобщенная характеристика мероприятий </w:t>
      </w:r>
      <w:r w:rsidRPr="00CD653C"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  <w:t>муниципальной</w:t>
      </w:r>
      <w:r w:rsidRPr="00CD653C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                              Программы</w:t>
      </w:r>
    </w:p>
    <w:p w:rsidR="00AB7A81" w:rsidRPr="00CD653C" w:rsidRDefault="00AB7A81" w:rsidP="00CD653C">
      <w:pPr>
        <w:suppressAutoHyphens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  <w:lang w:eastAsia="ru-RU"/>
        </w:rPr>
      </w:pPr>
      <w:r w:rsidRPr="00CD653C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Задачи муниципальной Программы будут решаться в рамках отдельных мероприятий, направленных на обеспечение реализации муниципальной Программы.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3.1. </w:t>
      </w:r>
      <w:proofErr w:type="gramStart"/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Отдельное</w:t>
      </w:r>
      <w:r w:rsidRPr="00CD653C">
        <w:rPr>
          <w:rFonts w:ascii="Times New Roman" w:hAnsi="Times New Roman"/>
          <w:i/>
          <w:color w:val="auto"/>
          <w:sz w:val="28"/>
          <w:szCs w:val="28"/>
          <w:lang w:eastAsia="zh-CN"/>
        </w:rPr>
        <w:t xml:space="preserve"> </w:t>
      </w:r>
      <w:r w:rsidRPr="00CD653C">
        <w:rPr>
          <w:rFonts w:ascii="Times New Roman" w:eastAsia="A" w:hAnsi="Times New Roman"/>
          <w:color w:val="auto"/>
          <w:sz w:val="28"/>
          <w:szCs w:val="28"/>
        </w:rPr>
        <w:t>мероприятие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«Профилактика правонарушений и преступлений» направлено на решение задачи «Создание условий для повышения эффективности совместной д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еятельности правоохранительных 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органов, ор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ганов местного самоуправления, 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контролирующих структур,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правонарушений, а также снижение количества правонарушений на территории Малмыжского района» и реализуется по следующим</w:t>
      </w:r>
      <w:proofErr w:type="gramEnd"/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направлениям: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3.1.1. Организация работы межведомственной комиссии по профилактике преступности и правонарушений.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3.1.2. Проведение регулярного анализа с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>остояния преступности в районе.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3.1.3. Организация работы по своевременному информированию служб системы профилактики по выявленным фактам жестокого обращения с детьми и подростками.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3.1.4. Организация работы по вовлечению детей и подростков, находящихся в социально опасном положении, в спортивные секции и группы оздоровительной направленности, кружки по интересам.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3.1.5. Ведение единого банка данных детей и семей, находящихся в социально-опасном положении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lastRenderedPageBreak/>
        <w:t>3.1.6. Координация работы общественных комиссий по делам несовершеннолетних в городском и сельских поселениях района.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3.1.7. Организация и проведение районных конкурсов.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3.1.8. Организация работы по раннему выявлению неблагополучных семей и детей, находящихся в социально опасном положении. Оказание комплексной помощи семьям и детям.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3.1.9. Организация работы телефона доверия социально – психологической помощи детям, подросткам и молодежи.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3.1.10. Организация и проведение на постоянной основе единого дня профилактики правонарушений.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3.1.11. Проведение совместных мероприятия в рамках оперативно-профилактического мероприятия «Сельский патруль».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3.1.12. Проведение </w:t>
      </w:r>
      <w:proofErr w:type="spellStart"/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профориентационных</w:t>
      </w:r>
      <w:proofErr w:type="spellEnd"/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работ с лицами, вернувшимися из учреждений уголовно-исполнительной системы и осужденных без изоляции от общества.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3.1.13. Организация работы по выявлению несовершеннолетних, вернувшихся из учреждений уголовно-исполнительной системы и осужденных без изоляции от общества.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3.1.14. Ведение банка данных лиц, вернувшихся из учреждений уголовно-исполнительной системы и осужденных без изоляции от общества.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3.1.15. Содействие в трудоустройстве, социальной адаптации, психологической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поддержке лицами, вернувшимися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из учреждений уголовно-исполнительной системы и осужденных без изоляции от общества.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3.1.16. Содействие в получении образования лиц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>ами, вернувшимися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из учреждений уголовно-исполнит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>ельной системы и осужденными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без изоляции от общества.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3.1.17. Ведение банка данных по учету иностранных граждан временно, или постоянно проживающих на территории муниципального района.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3.1.18. Провед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>ение оперативно-профилактического мероприятия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«Сельский патруль» по пресечению фактов продажи алкогольной продукции в рамках Закона Кировской области № 600 от 08 декабря 2015 года «Об установлении дополнительных ограничений времени, условий и мест розничной продажи алкогольной продукции на территории Кировской области».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3.1.19. Организация работы института общественных воспитателей.</w:t>
      </w:r>
    </w:p>
    <w:p w:rsidR="00AB7A81" w:rsidRPr="00CD653C" w:rsidRDefault="00AB7A81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3.1.20. Проведение информационно-разъяснительной работы с насе</w:t>
      </w:r>
      <w:r w:rsidR="00CD653C">
        <w:rPr>
          <w:rFonts w:ascii="Times New Roman" w:hAnsi="Times New Roman"/>
          <w:color w:val="auto"/>
          <w:sz w:val="28"/>
          <w:szCs w:val="28"/>
          <w:lang w:eastAsia="zh-CN"/>
        </w:rPr>
        <w:t>л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ением о предотвращении хищений, совершаемых с использованием информационно-коммуникационных технологий, преступлений в сфере компьютерной информации.</w:t>
      </w:r>
    </w:p>
    <w:p w:rsidR="00AB7A81" w:rsidRPr="00CD653C" w:rsidRDefault="00DF0665" w:rsidP="00CD653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>3.1.21</w:t>
      </w:r>
      <w:r w:rsidR="00AB7A81" w:rsidRPr="00CD653C">
        <w:rPr>
          <w:rFonts w:ascii="Times New Roman" w:hAnsi="Times New Roman"/>
          <w:color w:val="auto"/>
          <w:sz w:val="28"/>
          <w:szCs w:val="28"/>
          <w:lang w:eastAsia="zh-CN"/>
        </w:rPr>
        <w:t>. Приобретение литературы, баннеров, дискет, видеокассет и других электронных носителей с материалами по профилактике правонарушений, организация изготовления печатной и сувенирной продукции.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 Отдельное</w:t>
      </w:r>
      <w:r w:rsidRPr="00CD653C">
        <w:rPr>
          <w:rFonts w:ascii="Times New Roman" w:hAnsi="Times New Roman"/>
          <w:i/>
          <w:color w:val="auto"/>
          <w:sz w:val="28"/>
          <w:szCs w:val="28"/>
          <w:lang w:eastAsia="ru-RU"/>
        </w:rPr>
        <w:t xml:space="preserve"> 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мероприятие «Профилактика распространения наркомании»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направлено на решение задачи «О</w:t>
      </w: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беспечение сотрудничества </w:t>
      </w: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lastRenderedPageBreak/>
        <w:t xml:space="preserve">правоохранительных органов,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</w:t>
      </w:r>
      <w:proofErr w:type="spellStart"/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прекурсоров</w:t>
      </w:r>
      <w:proofErr w:type="spellEnd"/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, обнаружении мест произрастания дикорастущих </w:t>
      </w:r>
      <w:proofErr w:type="spellStart"/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наркосодержащих</w:t>
      </w:r>
      <w:proofErr w:type="spellEnd"/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растений и фактов их незаконного выращивания»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и реализуется по следующим направлениям: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3.2.1.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Проведение акции «Сообщи, где торгуют смертью!»</w:t>
      </w:r>
    </w:p>
    <w:p w:rsidR="00AB7A81" w:rsidRPr="00CD653C" w:rsidRDefault="00DF0665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3.2.2.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 xml:space="preserve">Участие в </w:t>
      </w:r>
      <w:r w:rsidR="00AB7A81" w:rsidRPr="00CD653C">
        <w:rPr>
          <w:rFonts w:ascii="Times New Roman" w:hAnsi="Times New Roman"/>
          <w:color w:val="auto"/>
          <w:sz w:val="28"/>
          <w:szCs w:val="28"/>
          <w:lang w:eastAsia="ru-RU"/>
        </w:rPr>
        <w:t>межведо</w:t>
      </w:r>
      <w:r w:rsidR="00CD653C">
        <w:rPr>
          <w:rFonts w:ascii="Times New Roman" w:hAnsi="Times New Roman"/>
          <w:color w:val="auto"/>
          <w:sz w:val="28"/>
          <w:szCs w:val="28"/>
          <w:lang w:eastAsia="ru-RU"/>
        </w:rPr>
        <w:t xml:space="preserve">мственных операциях 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 xml:space="preserve">«Допинг» и </w:t>
      </w:r>
      <w:r w:rsidR="00AB7A81" w:rsidRPr="00CD653C">
        <w:rPr>
          <w:rFonts w:ascii="Times New Roman" w:hAnsi="Times New Roman"/>
          <w:color w:val="auto"/>
          <w:sz w:val="28"/>
          <w:szCs w:val="28"/>
          <w:lang w:eastAsia="ru-RU"/>
        </w:rPr>
        <w:t>«Мак».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3.2.3.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Проведение межведомственной комплексной операции «Подросток».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3.2.4.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Оформление в образовательных учреждениях стендов антинаркотической направленности.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3.2.5.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Проведение районных конкурсов, спортивных соревнований, викторин, игр антинаркотической направленности.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3.2.6.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Организация размещения в средствах массовой информации, информации по вопросам ответственности, связанной с незаконным приобретением, хранением и сбытом наркотических средств.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3.2.7.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Приобретение баннеров, литературы, дисков,</w:t>
      </w:r>
      <w:r w:rsidR="00DF0665" w:rsidRPr="00CD653C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дискет, видеокассет и других 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электронных носителей с материалами по профилактике наркомании и алкоголизма, организация изготовления печатной и сувенирной продукции на антинаркотическую тематику (календари, памятки, закладки), социальная реклама антинаркотической направленности, приобретение экспресс-тестов на наркотики.</w:t>
      </w:r>
    </w:p>
    <w:p w:rsidR="00AB7A81" w:rsidRPr="00CD653C" w:rsidRDefault="00AB7A81" w:rsidP="00CD653C">
      <w:pPr>
        <w:suppressAutoHyphens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 Отдельное</w:t>
      </w:r>
      <w:r w:rsidRPr="00CD653C">
        <w:rPr>
          <w:rFonts w:ascii="Times New Roman" w:hAnsi="Times New Roman"/>
          <w:i/>
          <w:color w:val="auto"/>
          <w:sz w:val="28"/>
          <w:szCs w:val="28"/>
          <w:lang w:eastAsia="ru-RU"/>
        </w:rPr>
        <w:t xml:space="preserve"> 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мероприятие «Противодействие коррупции» направлено на решение задачи «</w:t>
      </w: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Формирование механизма противодействия коррупции»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и реализуется по следующим направлениям: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3.3.1.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 xml:space="preserve">Проведение экспертизы на </w:t>
      </w:r>
      <w:proofErr w:type="spellStart"/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коррупциогенность</w:t>
      </w:r>
      <w:proofErr w:type="spellEnd"/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 xml:space="preserve"> нормативных правовых актов, проектов нормативных правовых актов, разрабатываемых органами местного самоуправления.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3.3.2.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Подготовка и представление предложений по совершенствованию правовых актов в сфере деятельности по размещению и исполнению заказов для муниципальных нужд.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3.3.3.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Обеспечение деятельности межведомственной комиссии по противодействию коррупции в Малмыжском муниципальном районе.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3.3.4.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Анализ исполнения мероприятий планов и настоящего мероприятия по противодействию коррупции с рассмотрением на заседаниях коллегий, оперативных совещаниях.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3.3.5.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Организация и осуществление контроля за соблюдением муниципальными служащими ограничений, установленных законодательством о муниципальной службе, представлением сведений о доходах, расходах, об имуществе и обязательствах имущественного характера.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3.3.6.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Усиление антикоррупционной составляющей при организации профессиональной переподготовки, повышения квалификации и стажировки муниципальных служащих.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3.3.7.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Создание и публикация информационных материалов, посвященных противодействию коррупции, в печатных средствах массовой информации.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3.3.8.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Подготовка и реализация программ семинаров, совещаний и круглых столов по тематике антикоррупционной направленности для муниципальных служащих.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3.3.9.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ab/>
        <w:t>Организация и проведение районных конкурсов.</w:t>
      </w:r>
    </w:p>
    <w:p w:rsidR="00AB7A81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3.4. Отдельное</w:t>
      </w:r>
      <w:r w:rsidRPr="00CD653C">
        <w:rPr>
          <w:rFonts w:ascii="Times New Roman" w:hAnsi="Times New Roman"/>
          <w:i/>
          <w:color w:val="auto"/>
          <w:sz w:val="28"/>
          <w:szCs w:val="28"/>
          <w:lang w:eastAsia="ru-RU"/>
        </w:rPr>
        <w:t xml:space="preserve"> 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мероприятие «Трудоустройство несовершеннолетних</w:t>
      </w:r>
      <w:r w:rsidR="00DF0665" w:rsidRPr="00CD653C">
        <w:rPr>
          <w:rFonts w:ascii="Times New Roman" w:hAnsi="Times New Roman"/>
          <w:color w:val="auto"/>
          <w:sz w:val="28"/>
          <w:szCs w:val="28"/>
          <w:lang w:eastAsia="ru-RU"/>
        </w:rPr>
        <w:t xml:space="preserve">» направлено на решение задачи </w:t>
      </w:r>
      <w:r w:rsidRPr="00CD653C">
        <w:rPr>
          <w:rFonts w:ascii="Times New Roman" w:hAnsi="Times New Roman"/>
          <w:color w:val="auto"/>
          <w:sz w:val="28"/>
          <w:szCs w:val="28"/>
          <w:lang w:eastAsia="ru-RU"/>
        </w:rPr>
        <w:t>«Получение профессиональных навыков</w:t>
      </w: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»</w:t>
      </w:r>
      <w:r w:rsidRPr="00CD653C"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и реализуется по следующему направлению:</w:t>
      </w:r>
    </w:p>
    <w:p w:rsidR="00032066" w:rsidRPr="00CD653C" w:rsidRDefault="00AB7A81" w:rsidP="00CD653C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3.4.1. Организация и </w:t>
      </w:r>
      <w:proofErr w:type="spellStart"/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софинансирование</w:t>
      </w:r>
      <w:proofErr w:type="spellEnd"/>
      <w:r w:rsidRP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временного трудоустройства несовершеннолетних граждан в возрасте от 14-18 </w:t>
      </w:r>
      <w:r w:rsidR="00CD653C">
        <w:rPr>
          <w:rFonts w:ascii="Times New Roman" w:hAnsi="Times New Roman"/>
          <w:bCs/>
          <w:color w:val="auto"/>
          <w:sz w:val="28"/>
          <w:szCs w:val="28"/>
          <w:lang w:eastAsia="ru-RU"/>
        </w:rPr>
        <w:t>лет в свободное от учебы время.</w:t>
      </w:r>
      <w:bookmarkStart w:id="0" w:name="_GoBack"/>
      <w:bookmarkEnd w:id="0"/>
    </w:p>
    <w:sectPr w:rsidR="00032066" w:rsidRPr="00CD6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32066"/>
    <w:rsid w:val="00AB7A81"/>
    <w:rsid w:val="00CD653C"/>
    <w:rsid w:val="00D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Лилия</cp:lastModifiedBy>
  <cp:revision>3</cp:revision>
  <dcterms:created xsi:type="dcterms:W3CDTF">2020-12-03T07:11:00Z</dcterms:created>
  <dcterms:modified xsi:type="dcterms:W3CDTF">2020-12-03T08:11:00Z</dcterms:modified>
</cp:coreProperties>
</file>