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7F" w:rsidRDefault="00A1467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1467F" w:rsidRDefault="00A1467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A1467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467F" w:rsidRDefault="00A1467F">
            <w:pPr>
              <w:pStyle w:val="ConsPlusNormal"/>
            </w:pPr>
            <w:r>
              <w:t>24 ноября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467F" w:rsidRDefault="00A1467F">
            <w:pPr>
              <w:pStyle w:val="ConsPlusNormal"/>
              <w:jc w:val="right"/>
            </w:pPr>
            <w:r>
              <w:t>N 417-ЗО</w:t>
            </w:r>
          </w:p>
        </w:tc>
      </w:tr>
    </w:tbl>
    <w:p w:rsidR="00A1467F" w:rsidRDefault="00A1467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Title"/>
        <w:jc w:val="center"/>
      </w:pPr>
      <w:r>
        <w:t>ЗАКОН</w:t>
      </w:r>
    </w:p>
    <w:p w:rsidR="00A1467F" w:rsidRDefault="00A1467F">
      <w:pPr>
        <w:pStyle w:val="ConsPlusTitle"/>
        <w:jc w:val="both"/>
      </w:pPr>
    </w:p>
    <w:p w:rsidR="00A1467F" w:rsidRDefault="00A1467F">
      <w:pPr>
        <w:pStyle w:val="ConsPlusTitle"/>
        <w:jc w:val="center"/>
      </w:pPr>
      <w:r>
        <w:t>КИРОВСКОЙ ОБЛАСТИ</w:t>
      </w:r>
    </w:p>
    <w:p w:rsidR="00A1467F" w:rsidRDefault="00A1467F">
      <w:pPr>
        <w:pStyle w:val="ConsPlusTitle"/>
        <w:jc w:val="both"/>
      </w:pPr>
    </w:p>
    <w:p w:rsidR="00A1467F" w:rsidRDefault="00A1467F">
      <w:pPr>
        <w:pStyle w:val="ConsPlusTitle"/>
        <w:jc w:val="center"/>
      </w:pPr>
      <w:r>
        <w:t>О ПРИМЕНЕНИИ НА ТЕРРИТОРИИ КИРОВСКОЙ ОБЛАСТИ ИНВЕСТИЦИОННОГО</w:t>
      </w:r>
    </w:p>
    <w:p w:rsidR="00A1467F" w:rsidRDefault="00A1467F">
      <w:pPr>
        <w:pStyle w:val="ConsPlusTitle"/>
        <w:jc w:val="center"/>
      </w:pPr>
      <w:r>
        <w:t>НАЛОГОВОГО ВЫЧЕТА ПО НАЛОГУ НА ПРИБЫЛЬ ОРГАНИЗАЦИЙ</w:t>
      </w:r>
    </w:p>
    <w:p w:rsidR="00A1467F" w:rsidRDefault="00A1467F">
      <w:pPr>
        <w:pStyle w:val="ConsPlusTitle"/>
        <w:jc w:val="center"/>
      </w:pPr>
      <w:r>
        <w:t>И ПРИЗНАНИИ УТРАТИВШИМИ СИЛУ ОТДЕЛЬНЫХ ПОЛОЖЕНИЙ ЗАКОНА</w:t>
      </w:r>
    </w:p>
    <w:p w:rsidR="00A1467F" w:rsidRDefault="00A1467F">
      <w:pPr>
        <w:pStyle w:val="ConsPlusTitle"/>
        <w:jc w:val="center"/>
      </w:pPr>
      <w:r>
        <w:t>КИРОВСКОЙ ОБЛАСТИ "О ПОНИЖЕННОЙ НАЛОГОВОЙ СТАВКЕ НАЛОГА</w:t>
      </w:r>
    </w:p>
    <w:p w:rsidR="00A1467F" w:rsidRDefault="00A1467F">
      <w:pPr>
        <w:pStyle w:val="ConsPlusTitle"/>
        <w:jc w:val="center"/>
      </w:pPr>
      <w:r>
        <w:t>НА ПРИБЫЛЬ ОРГАНИЗАЦИЙ, ПОДЛЕЖАЩЕГО ЗАЧИСЛЕНИЮ В ОБЛАСТНОЙ</w:t>
      </w:r>
    </w:p>
    <w:p w:rsidR="00A1467F" w:rsidRDefault="00A1467F">
      <w:pPr>
        <w:pStyle w:val="ConsPlusTitle"/>
        <w:jc w:val="center"/>
      </w:pPr>
      <w:r>
        <w:t>БЮДЖЕТ, ДЛЯ ОТДЕЛЬНЫХ КАТЕГОРИЙ НАЛОГОПЛАТЕЛЬЩИКОВ"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jc w:val="right"/>
      </w:pPr>
      <w:r>
        <w:t>Принят</w:t>
      </w:r>
    </w:p>
    <w:p w:rsidR="00A1467F" w:rsidRDefault="00A1467F">
      <w:pPr>
        <w:pStyle w:val="ConsPlusNormal"/>
        <w:jc w:val="right"/>
      </w:pPr>
      <w:r>
        <w:t>Законодательным Собранием</w:t>
      </w:r>
    </w:p>
    <w:p w:rsidR="00A1467F" w:rsidRDefault="00A1467F">
      <w:pPr>
        <w:pStyle w:val="ConsPlusNormal"/>
        <w:jc w:val="right"/>
      </w:pPr>
      <w:r>
        <w:t>Кировской области</w:t>
      </w:r>
    </w:p>
    <w:p w:rsidR="00A1467F" w:rsidRDefault="00A1467F">
      <w:pPr>
        <w:pStyle w:val="ConsPlusNormal"/>
        <w:jc w:val="right"/>
      </w:pPr>
      <w:r>
        <w:t>19 ноября 2020 года</w:t>
      </w:r>
    </w:p>
    <w:p w:rsidR="00A1467F" w:rsidRDefault="00A1467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14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467F" w:rsidRDefault="00A146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467F" w:rsidRDefault="00A1467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Кировской области от 02.04.2021 N 465-ЗО)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</w:tr>
    </w:tbl>
    <w:p w:rsidR="00A1467F" w:rsidRDefault="00A1467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14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467F" w:rsidRDefault="00A1467F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1 </w:t>
            </w:r>
            <w:hyperlink w:anchor="P66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31.12.2027 включительно.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</w:tr>
    </w:tbl>
    <w:p w:rsidR="00A1467F" w:rsidRDefault="00A1467F">
      <w:pPr>
        <w:pStyle w:val="ConsPlusTitle"/>
        <w:spacing w:before="280"/>
        <w:ind w:firstLine="540"/>
        <w:jc w:val="both"/>
        <w:outlineLvl w:val="0"/>
      </w:pPr>
      <w:bookmarkStart w:id="0" w:name="P23"/>
      <w:bookmarkEnd w:id="0"/>
      <w:r>
        <w:t>Статья 1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ind w:firstLine="540"/>
        <w:jc w:val="both"/>
      </w:pPr>
      <w:r>
        <w:t xml:space="preserve">Настоящим Законом в соответствии со </w:t>
      </w:r>
      <w:hyperlink r:id="rId6">
        <w:r>
          <w:rPr>
            <w:color w:val="0000FF"/>
          </w:rPr>
          <w:t>статьей 286.1</w:t>
        </w:r>
      </w:hyperlink>
      <w:r>
        <w:t xml:space="preserve"> Налогового кодекса Российской Федерации (далее - Налоговый кодекс) устанавливается право на применение на территории Кировской области инвестиционного налогового вычета при исчислении налога на прибыль организаций.</w:t>
      </w:r>
    </w:p>
    <w:p w:rsidR="00A1467F" w:rsidRDefault="00A1467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14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467F" w:rsidRDefault="00A1467F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2 </w:t>
            </w:r>
            <w:hyperlink w:anchor="P66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31.12.2027 включительно.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</w:tr>
    </w:tbl>
    <w:p w:rsidR="00A1467F" w:rsidRDefault="00A1467F">
      <w:pPr>
        <w:pStyle w:val="ConsPlusTitle"/>
        <w:spacing w:before="280"/>
        <w:ind w:firstLine="540"/>
        <w:jc w:val="both"/>
        <w:outlineLvl w:val="0"/>
      </w:pPr>
      <w:r>
        <w:t>Статья 2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ind w:firstLine="540"/>
        <w:jc w:val="both"/>
      </w:pPr>
      <w:r>
        <w:t xml:space="preserve">1. Право на применение инвестиционного налогового вычета в части расходов, указанных в </w:t>
      </w:r>
      <w:hyperlink r:id="rId7">
        <w:r>
          <w:rPr>
            <w:color w:val="0000FF"/>
          </w:rPr>
          <w:t>подпунктах 1</w:t>
        </w:r>
      </w:hyperlink>
      <w:r>
        <w:t xml:space="preserve"> и </w:t>
      </w:r>
      <w:hyperlink r:id="rId8">
        <w:r>
          <w:rPr>
            <w:color w:val="0000FF"/>
          </w:rPr>
          <w:t>2 пункта 2 статьи 286.1</w:t>
        </w:r>
      </w:hyperlink>
      <w:r>
        <w:t xml:space="preserve"> Налогового кодекса, осуществляемых в рамках реализации инвестиционных проектов, включенных в перечень приоритетных инвестиционных проектов в соответствии с требованиями </w:t>
      </w:r>
      <w:hyperlink r:id="rId9">
        <w:r>
          <w:rPr>
            <w:color w:val="0000FF"/>
          </w:rPr>
          <w:t>Закона</w:t>
        </w:r>
      </w:hyperlink>
      <w:r>
        <w:t xml:space="preserve"> Кировской области от 2 июля 2010 года N 537-ЗО "О регулировании инвестиционной деятельности в Кировской области", имеют следующие категории налогоплательщиков:</w:t>
      </w:r>
    </w:p>
    <w:p w:rsidR="00A1467F" w:rsidRDefault="00A1467F">
      <w:pPr>
        <w:pStyle w:val="ConsPlusNormal"/>
        <w:spacing w:before="220"/>
        <w:ind w:firstLine="540"/>
        <w:jc w:val="both"/>
      </w:pPr>
      <w:bookmarkStart w:id="1" w:name="P31"/>
      <w:bookmarkEnd w:id="1"/>
      <w:r>
        <w:t>1) осуществляющие основной вид деятельности, относящийся в соответствии с Общероссийским классификатором видов экономической деятельности к классу видов экономической деятельности "</w:t>
      </w:r>
      <w:hyperlink r:id="rId10">
        <w:r>
          <w:rPr>
            <w:color w:val="0000FF"/>
          </w:rPr>
          <w:t>Обработка</w:t>
        </w:r>
      </w:hyperlink>
      <w:r>
        <w:t xml:space="preserve"> древесины и производство изделий из дерева и пробки, кроме мебели, производство изделий из соломки и материалов для плетения", "</w:t>
      </w:r>
      <w:hyperlink r:id="rId11">
        <w:r>
          <w:rPr>
            <w:color w:val="0000FF"/>
          </w:rPr>
          <w:t>Производство</w:t>
        </w:r>
      </w:hyperlink>
      <w:r>
        <w:t xml:space="preserve"> лекарственных средств и материалов, применяемых в медицинских целях", "</w:t>
      </w:r>
      <w:hyperlink r:id="rId12">
        <w:r>
          <w:rPr>
            <w:color w:val="0000FF"/>
          </w:rPr>
          <w:t>Производство</w:t>
        </w:r>
      </w:hyperlink>
      <w:r>
        <w:t xml:space="preserve"> компьютеров, электронных и оптических изделий" и "</w:t>
      </w:r>
      <w:hyperlink r:id="rId13">
        <w:r>
          <w:rPr>
            <w:color w:val="0000FF"/>
          </w:rPr>
          <w:t>Производство</w:t>
        </w:r>
      </w:hyperlink>
      <w:r>
        <w:t xml:space="preserve"> машин и оборудования, не включенных в другие группировки";</w:t>
      </w:r>
    </w:p>
    <w:p w:rsidR="00A1467F" w:rsidRDefault="00A1467F">
      <w:pPr>
        <w:pStyle w:val="ConsPlusNormal"/>
        <w:spacing w:before="220"/>
        <w:ind w:firstLine="540"/>
        <w:jc w:val="both"/>
      </w:pPr>
      <w:bookmarkStart w:id="2" w:name="P32"/>
      <w:bookmarkEnd w:id="2"/>
      <w:r>
        <w:lastRenderedPageBreak/>
        <w:t xml:space="preserve">2) осуществляющие виды экономической деятельности, за исключением указанных в </w:t>
      </w:r>
      <w:hyperlink w:anchor="P31">
        <w:r>
          <w:rPr>
            <w:color w:val="0000FF"/>
          </w:rPr>
          <w:t>пункте 1</w:t>
        </w:r>
      </w:hyperlink>
      <w:r>
        <w:t xml:space="preserve"> настоящей части.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2. Предельный размер расходов, учитываемых при определении размера инвестиционного налогового вычета текущего налогового (отчетного) периода, составляет:</w:t>
      </w:r>
    </w:p>
    <w:p w:rsidR="00A1467F" w:rsidRDefault="00A1467F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Кировской области от 02.04.2021 N 465-ЗО)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 xml:space="preserve">1) 90 процентов суммы расходов налогоплательщиков, указанных в </w:t>
      </w:r>
      <w:hyperlink w:anchor="P31">
        <w:r>
          <w:rPr>
            <w:color w:val="0000FF"/>
          </w:rPr>
          <w:t>пункте 1 части 1</w:t>
        </w:r>
      </w:hyperlink>
      <w:r>
        <w:t xml:space="preserve"> настоящей статьи, составляющей первоначальную стоимость основного средства в соответствии с </w:t>
      </w:r>
      <w:hyperlink r:id="rId15">
        <w:r>
          <w:rPr>
            <w:color w:val="0000FF"/>
          </w:rPr>
          <w:t>абзацем вторым пункта 1 статьи 257</w:t>
        </w:r>
      </w:hyperlink>
      <w:r>
        <w:t xml:space="preserve"> Налогового кодекса либо величину изменения первоначальной стоимости основного средства в случаях, указанных в </w:t>
      </w:r>
      <w:hyperlink r:id="rId16">
        <w:r>
          <w:rPr>
            <w:color w:val="0000FF"/>
          </w:rPr>
          <w:t>пункте 2 статьи 257</w:t>
        </w:r>
      </w:hyperlink>
      <w:r>
        <w:t xml:space="preserve"> Налогового кодекса (за исключением частичной ликвидации основного средства).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Размер ставки налога на прибыль организаций, применяемой для расчета предельной величины инвестиционного налогового вычета, составляет 5 процентов;</w:t>
      </w:r>
    </w:p>
    <w:p w:rsidR="00A1467F" w:rsidRDefault="00A1467F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Закона</w:t>
        </w:r>
      </w:hyperlink>
      <w:r>
        <w:t xml:space="preserve"> Кировской области от 02.04.2021 N 465-ЗО)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 xml:space="preserve">2) 50 процентов суммы расходов налогоплательщиков, указанных в </w:t>
      </w:r>
      <w:hyperlink w:anchor="P32">
        <w:r>
          <w:rPr>
            <w:color w:val="0000FF"/>
          </w:rPr>
          <w:t>пункте 2 части 1</w:t>
        </w:r>
      </w:hyperlink>
      <w:r>
        <w:t xml:space="preserve"> настоящей статьи, составляющей первоначальную стоимость основного средства в соответствии с </w:t>
      </w:r>
      <w:hyperlink r:id="rId18">
        <w:r>
          <w:rPr>
            <w:color w:val="0000FF"/>
          </w:rPr>
          <w:t>абзацем вторым пункта 1 статьи 257</w:t>
        </w:r>
      </w:hyperlink>
      <w:r>
        <w:t xml:space="preserve"> Налогового кодекса либо величину изменения первоначальной стоимости основного средства в случаях, указанных в </w:t>
      </w:r>
      <w:hyperlink r:id="rId19">
        <w:r>
          <w:rPr>
            <w:color w:val="0000FF"/>
          </w:rPr>
          <w:t>пункте 2 статьи 257</w:t>
        </w:r>
      </w:hyperlink>
      <w:r>
        <w:t xml:space="preserve"> Налогового кодекса (за исключением частичной ликвидации основного средства).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Размер ставки налога на прибыль организаций, применяемой для расчета предельной величины инвестиционного налогового вычета, составляет 10 процентов.</w:t>
      </w:r>
    </w:p>
    <w:p w:rsidR="00A1467F" w:rsidRDefault="00A1467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Кировской области от 02.04.2021 N 465-ЗО)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3. Инвестиционный налоговый вычет в отношении налогоплательщиков, указанных в настоящей статье, применяется с начала налогового периода, в котором инвестиционный проект включен в перечень приоритетных инвестиционных проектов.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В случае исключения инвестиционного проекта из перечня приоритетных инвестиционных проектов налогоплательщики утрачивают право на применение инвестиционного налогового вычета, установленного настоящей статьей, с начала налогового периода, в котором он был исключен из перечня приоритетных инвестиционных проектов.</w:t>
      </w:r>
    </w:p>
    <w:p w:rsidR="00A1467F" w:rsidRDefault="00A1467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14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467F" w:rsidRDefault="00A1467F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3 </w:t>
            </w:r>
            <w:hyperlink w:anchor="P66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31.12.2027 включительно.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</w:tr>
    </w:tbl>
    <w:p w:rsidR="00A1467F" w:rsidRDefault="00A1467F">
      <w:pPr>
        <w:pStyle w:val="ConsPlusTitle"/>
        <w:spacing w:before="280"/>
        <w:ind w:firstLine="540"/>
        <w:jc w:val="both"/>
        <w:outlineLvl w:val="0"/>
      </w:pPr>
      <w:r>
        <w:t>Статья 3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ind w:firstLine="540"/>
        <w:jc w:val="both"/>
      </w:pPr>
      <w:r>
        <w:t xml:space="preserve">1. Право на применение инвестиционного налогового вычета имеют налогоплательщики, осуществившие расходы, указанные в </w:t>
      </w:r>
      <w:hyperlink r:id="rId21">
        <w:r>
          <w:rPr>
            <w:color w:val="0000FF"/>
          </w:rPr>
          <w:t>подпунктах 4</w:t>
        </w:r>
      </w:hyperlink>
      <w:r>
        <w:t xml:space="preserve">, </w:t>
      </w:r>
      <w:hyperlink r:id="rId22">
        <w:r>
          <w:rPr>
            <w:color w:val="0000FF"/>
          </w:rPr>
          <w:t>5 пункта 2 статьи 286.1</w:t>
        </w:r>
      </w:hyperlink>
      <w:r>
        <w:t xml:space="preserve"> Налогового кодекса.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2. Предельный размер расходов, учитываемых при определении размера инвестиционного налогового вычета текущего налогового (отчетного) периода, составляет:</w:t>
      </w:r>
    </w:p>
    <w:p w:rsidR="00A1467F" w:rsidRDefault="00A1467F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Кировской области от 02.04.2021 N 465-ЗО)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 xml:space="preserve">1) в части расходов, указанных в </w:t>
      </w:r>
      <w:hyperlink r:id="rId24">
        <w:r>
          <w:rPr>
            <w:color w:val="0000FF"/>
          </w:rPr>
          <w:t>подпункте 4 пункта 2 статьи 286.1</w:t>
        </w:r>
      </w:hyperlink>
      <w:r>
        <w:t xml:space="preserve"> Налогового кодекса: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85 процентов суммы расходов текущего периода в виде денежных средств, перечисленных по договорам финансирования деятельности по созданию на территории Кировской области объектов инфраструктуры, которые в соответствии с законодательством Российской Федерации могут находиться исключительно в федеральной собственности;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 xml:space="preserve">2) в части расходов, указанных в </w:t>
      </w:r>
      <w:hyperlink r:id="rId25">
        <w:r>
          <w:rPr>
            <w:color w:val="0000FF"/>
          </w:rPr>
          <w:t>подпункте 5 пункта 2 статьи 286.1</w:t>
        </w:r>
      </w:hyperlink>
      <w:r>
        <w:t xml:space="preserve"> Налогового кодекса: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lastRenderedPageBreak/>
        <w:t xml:space="preserve">100 процентов суммы расходов на создание объектов транспортной и коммунальной инфраструктуры, а также 80 процентов суммы расходов на создание объектов социальной инфраструктуры, указанных в </w:t>
      </w:r>
      <w:hyperlink r:id="rId26">
        <w:r>
          <w:rPr>
            <w:color w:val="0000FF"/>
          </w:rPr>
          <w:t>подпункте 5 пункта 2 статьи 286.1</w:t>
        </w:r>
      </w:hyperlink>
      <w:r>
        <w:t xml:space="preserve"> Налогового кодекса, безвозмездно переданных в государственную собственность Кировской области или муниципальную собственность муниципальных образований Кировской области.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>3. Размер ставки налога на прибыль организаций, применяемой для расчета предельной величины инвестиционного налогового вычета, составляет 10 процентов.</w:t>
      </w:r>
    </w:p>
    <w:p w:rsidR="00A1467F" w:rsidRDefault="00A1467F">
      <w:pPr>
        <w:pStyle w:val="ConsPlusNormal"/>
        <w:jc w:val="both"/>
      </w:pPr>
      <w:r>
        <w:t xml:space="preserve">(часть 3 в ред. </w:t>
      </w:r>
      <w:hyperlink r:id="rId27">
        <w:r>
          <w:rPr>
            <w:color w:val="0000FF"/>
          </w:rPr>
          <w:t>Закона</w:t>
        </w:r>
      </w:hyperlink>
      <w:r>
        <w:t xml:space="preserve"> Кировской области от 02.04.2021 N 465-ЗО)</w:t>
      </w:r>
    </w:p>
    <w:p w:rsidR="00A1467F" w:rsidRDefault="00A1467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14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467F" w:rsidRDefault="00A1467F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4 </w:t>
            </w:r>
            <w:hyperlink w:anchor="P66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31.12.2027 включительно.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67F" w:rsidRDefault="00A1467F">
            <w:pPr>
              <w:pStyle w:val="ConsPlusNormal"/>
            </w:pPr>
          </w:p>
        </w:tc>
      </w:tr>
    </w:tbl>
    <w:p w:rsidR="00A1467F" w:rsidRDefault="00A1467F">
      <w:pPr>
        <w:pStyle w:val="ConsPlusTitle"/>
        <w:spacing w:before="280"/>
        <w:ind w:firstLine="540"/>
        <w:jc w:val="both"/>
        <w:outlineLvl w:val="0"/>
      </w:pPr>
      <w:bookmarkStart w:id="3" w:name="P58"/>
      <w:bookmarkEnd w:id="3"/>
      <w:r>
        <w:t>Статья 4</w:t>
      </w:r>
    </w:p>
    <w:p w:rsidR="00A1467F" w:rsidRDefault="00A1467F">
      <w:pPr>
        <w:pStyle w:val="ConsPlusNormal"/>
        <w:ind w:firstLine="540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Кировской области от 02.04.2021 N 465-ЗО)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ind w:firstLine="540"/>
        <w:jc w:val="both"/>
      </w:pPr>
      <w:r>
        <w:t>Инвестиционный налоговый вычет текущего налогового (отчетного) периода в части, превышающей предельную величину инвестиционного налогового вычета (неиспользованный инвестиционный налоговый вычет), может быть использован для уменьшения суммы налога (авансового платежа), подлежащей зачислению в доходную часть областного бюджета, в последующих налоговых (отчетных) периодах, но не более трех последовательных налоговых периодов.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Title"/>
        <w:ind w:firstLine="540"/>
        <w:jc w:val="both"/>
        <w:outlineLvl w:val="0"/>
      </w:pPr>
      <w:r>
        <w:t>Статья 5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ind w:firstLine="540"/>
        <w:jc w:val="both"/>
      </w:pPr>
      <w:r>
        <w:t>1. Настоящий Закон вступает в силу с 1 января 2021 года.</w:t>
      </w:r>
    </w:p>
    <w:p w:rsidR="00A1467F" w:rsidRDefault="00A1467F">
      <w:pPr>
        <w:pStyle w:val="ConsPlusNormal"/>
        <w:spacing w:before="220"/>
        <w:ind w:firstLine="540"/>
        <w:jc w:val="both"/>
      </w:pPr>
      <w:bookmarkStart w:id="4" w:name="P66"/>
      <w:bookmarkEnd w:id="4"/>
      <w:r>
        <w:t xml:space="preserve">2. Положения </w:t>
      </w:r>
      <w:hyperlink w:anchor="P23">
        <w:r>
          <w:rPr>
            <w:color w:val="0000FF"/>
          </w:rPr>
          <w:t>статей 1</w:t>
        </w:r>
      </w:hyperlink>
      <w:r>
        <w:t xml:space="preserve"> - </w:t>
      </w:r>
      <w:hyperlink w:anchor="P58">
        <w:r>
          <w:rPr>
            <w:color w:val="0000FF"/>
          </w:rPr>
          <w:t>4</w:t>
        </w:r>
      </w:hyperlink>
      <w:r>
        <w:t xml:space="preserve"> настоящего Закона действуют по 31 декабря 2027 года включительно.</w:t>
      </w:r>
    </w:p>
    <w:p w:rsidR="00A1467F" w:rsidRDefault="00A1467F">
      <w:pPr>
        <w:pStyle w:val="ConsPlusNormal"/>
        <w:spacing w:before="220"/>
        <w:ind w:firstLine="540"/>
        <w:jc w:val="both"/>
      </w:pPr>
      <w:r>
        <w:t xml:space="preserve">3. Со дня вступления в силу настоящего Закона признать утратившими силу </w:t>
      </w:r>
      <w:hyperlink r:id="rId29">
        <w:r>
          <w:rPr>
            <w:color w:val="0000FF"/>
          </w:rPr>
          <w:t>часть 1 статьи 3</w:t>
        </w:r>
      </w:hyperlink>
      <w:r>
        <w:t xml:space="preserve">, </w:t>
      </w:r>
      <w:hyperlink r:id="rId30">
        <w:r>
          <w:rPr>
            <w:color w:val="0000FF"/>
          </w:rPr>
          <w:t>статью 4</w:t>
        </w:r>
      </w:hyperlink>
      <w:r>
        <w:t xml:space="preserve"> Закона Кировской области от 8 октября 2012 года N 199-ЗО "О пониженной налоговой ставке налога на прибыль организаций, подлежащего зачислению в областной бюджет, для отдельных категорий налогоплательщиков" (Сборник основных нормативных правовых актов органов государственной власти Кировской области, 2012, N 6 (144), ст. 5060, ст. 5073; 2013, N 1 (145), часть 2, ст. 5120; 2014, N 6 (156), ст. 5586; 2015, N 4 (160), ст. 5761; 2016, N 5 (167), ст. 6032; Кировская правда, 2017, 28 ноября; 2018, 22 февраля; 2019, 30 июля; официальный информационный сайт Правительства Кировской области, 2020, 4 июня).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jc w:val="right"/>
      </w:pPr>
      <w:r>
        <w:t>Губернатор</w:t>
      </w:r>
    </w:p>
    <w:p w:rsidR="00A1467F" w:rsidRDefault="00A1467F">
      <w:pPr>
        <w:pStyle w:val="ConsPlusNormal"/>
        <w:jc w:val="right"/>
      </w:pPr>
      <w:r>
        <w:t>Кировской области</w:t>
      </w:r>
    </w:p>
    <w:p w:rsidR="00A1467F" w:rsidRDefault="00A1467F">
      <w:pPr>
        <w:pStyle w:val="ConsPlusNormal"/>
        <w:jc w:val="right"/>
      </w:pPr>
      <w:r>
        <w:t>И.В.ВАСИЛЬЕВ</w:t>
      </w:r>
    </w:p>
    <w:p w:rsidR="00A1467F" w:rsidRDefault="00A1467F">
      <w:pPr>
        <w:pStyle w:val="ConsPlusNormal"/>
      </w:pPr>
      <w:r>
        <w:t>г. Киров</w:t>
      </w:r>
    </w:p>
    <w:p w:rsidR="00A1467F" w:rsidRDefault="00A1467F">
      <w:pPr>
        <w:pStyle w:val="ConsPlusNormal"/>
        <w:spacing w:before="220"/>
      </w:pPr>
      <w:r>
        <w:t>24 ноября 2020 года</w:t>
      </w:r>
    </w:p>
    <w:p w:rsidR="00A1467F" w:rsidRDefault="00A1467F">
      <w:pPr>
        <w:pStyle w:val="ConsPlusNormal"/>
        <w:spacing w:before="220"/>
      </w:pPr>
      <w:r>
        <w:t>N 417-ЗО</w:t>
      </w: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jc w:val="both"/>
      </w:pPr>
    </w:p>
    <w:p w:rsidR="00A1467F" w:rsidRDefault="00A1467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096E" w:rsidRDefault="00EF096E"/>
    <w:sectPr w:rsidR="00EF096E" w:rsidSect="00245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467F"/>
    <w:rsid w:val="00326E37"/>
    <w:rsid w:val="007B3CFD"/>
    <w:rsid w:val="007F4878"/>
    <w:rsid w:val="00A1467F"/>
    <w:rsid w:val="00B36B65"/>
    <w:rsid w:val="00C94FFD"/>
    <w:rsid w:val="00CE00C9"/>
    <w:rsid w:val="00EF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14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46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13B9D7D90BC46F5DB432207E1B9CB2D7CCD7872D135FE19D41A530B73D2063F31625BC7C3153BBA531C3833FDCD36C92BA37320363A9cCqBI" TargetMode="External"/><Relationship Id="rId13" Type="http://schemas.openxmlformats.org/officeDocument/2006/relationships/hyperlink" Target="consultantplus://offline/ref=7313B9D7D90BC46F5DB432207E1B9CB2D7CDD78A2F175FE19D41A530B73D2063F31625BC7B3452B3AE6EC6962E84DE6585A4342F1F61ABCAc6qEI" TargetMode="External"/><Relationship Id="rId18" Type="http://schemas.openxmlformats.org/officeDocument/2006/relationships/hyperlink" Target="consultantplus://offline/ref=7313B9D7D90BC46F5DB432207E1B9CB2D7CCD7872D135FE19D41A530B73D2063F31625B9793150B8FA34D69267D1DA7B8CB92A2E0161cAq8I" TargetMode="External"/><Relationship Id="rId26" Type="http://schemas.openxmlformats.org/officeDocument/2006/relationships/hyperlink" Target="consultantplus://offline/ref=7313B9D7D90BC46F5DB432207E1B9CB2D7CCD7872D135FE19D41A530B73D2063F31625BC7C3153BAA531C3833FDCD36C92BA37320363A9cCqB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313B9D7D90BC46F5DB432207E1B9CB2D7CCD7872D135FE19D41A530B73D2063F31625BC7C3250B3A531C3833FDCD36C92BA37320363A9cCqBI" TargetMode="External"/><Relationship Id="rId7" Type="http://schemas.openxmlformats.org/officeDocument/2006/relationships/hyperlink" Target="consultantplus://offline/ref=7313B9D7D90BC46F5DB432207E1B9CB2D7CCD7872D135FE19D41A530B73D2063F31625BC7C3153B4A531C3833FDCD36C92BA37320363A9cCqBI" TargetMode="External"/><Relationship Id="rId12" Type="http://schemas.openxmlformats.org/officeDocument/2006/relationships/hyperlink" Target="consultantplus://offline/ref=7313B9D7D90BC46F5DB432207E1B9CB2D7CDD78A2F175FE19D41A530B73D2063F31625BC7B3356B6A66EC6962E84DE6585A4342F1F61ABCAc6qEI" TargetMode="External"/><Relationship Id="rId17" Type="http://schemas.openxmlformats.org/officeDocument/2006/relationships/hyperlink" Target="consultantplus://offline/ref=7313B9D7D90BC46F5DB432367D77C0BBD3C4818E2B155DB0C513A367E86D2636B35623E938725DB2AE6592C668DA8734C8EF392C087DABCB7314A524c2qFI" TargetMode="External"/><Relationship Id="rId25" Type="http://schemas.openxmlformats.org/officeDocument/2006/relationships/hyperlink" Target="consultantplus://offline/ref=7313B9D7D90BC46F5DB432207E1B9CB2D7CCD7872D135FE19D41A530B73D2063F31625BC7C3153BAA531C3833FDCD36C92BA37320363A9cCqB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313B9D7D90BC46F5DB432207E1B9CB2D7CCD7872D135FE19D41A530B73D2063F31625BC7B3450BBAF6EC6962E84DE6585A4342F1F61ABCAc6qEI" TargetMode="External"/><Relationship Id="rId20" Type="http://schemas.openxmlformats.org/officeDocument/2006/relationships/hyperlink" Target="consultantplus://offline/ref=7313B9D7D90BC46F5DB432367D77C0BBD3C4818E2B155DB0C513A367E86D2636B35623E938725DB2AE6592C66EDA8734C8EF392C087DABCB7314A524c2qFI" TargetMode="External"/><Relationship Id="rId29" Type="http://schemas.openxmlformats.org/officeDocument/2006/relationships/hyperlink" Target="consultantplus://offline/ref=7313B9D7D90BC46F5DB432367D77C0BBD3C4818E2B1652BFC111A367E86D2636B35623E938725DB0A66EC6962E84DE6585A4342F1F61ABCAc6q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313B9D7D90BC46F5DB432207E1B9CB2D7CCD7872D135FE19D41A530B73D2063F31625BC7C3153B5A531C3833FDCD36C92BA37320363A9cCqBI" TargetMode="External"/><Relationship Id="rId11" Type="http://schemas.openxmlformats.org/officeDocument/2006/relationships/hyperlink" Target="consultantplus://offline/ref=7313B9D7D90BC46F5DB432207E1B9CB2D7CDD78A2F175FE19D41A530B73D2063F31625BC7B3755B5A96EC6962E84DE6585A4342F1F61ABCAc6qEI" TargetMode="External"/><Relationship Id="rId24" Type="http://schemas.openxmlformats.org/officeDocument/2006/relationships/hyperlink" Target="consultantplus://offline/ref=7313B9D7D90BC46F5DB432207E1B9CB2D7CCD7872D135FE19D41A530B73D2063F31625BC7C3250B3A531C3833FDCD36C92BA37320363A9cCqBI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7313B9D7D90BC46F5DB432367D77C0BBD3C4818E2B155DB0C513A367E86D2636B35623E938725DB2AE6592C762DA8734C8EF392C087DABCB7314A524c2qFI" TargetMode="External"/><Relationship Id="rId15" Type="http://schemas.openxmlformats.org/officeDocument/2006/relationships/hyperlink" Target="consultantplus://offline/ref=7313B9D7D90BC46F5DB432207E1B9CB2D7CCD7872D135FE19D41A530B73D2063F31625B9793150B8FA34D69267D1DA7B8CB92A2E0161cAq8I" TargetMode="External"/><Relationship Id="rId23" Type="http://schemas.openxmlformats.org/officeDocument/2006/relationships/hyperlink" Target="consultantplus://offline/ref=7313B9D7D90BC46F5DB432367D77C0BBD3C4818E2B155DB0C513A367E86D2636B35623E938725DB2AE6592C66DDA8734C8EF392C087DABCB7314A524c2qFI" TargetMode="External"/><Relationship Id="rId28" Type="http://schemas.openxmlformats.org/officeDocument/2006/relationships/hyperlink" Target="consultantplus://offline/ref=7313B9D7D90BC46F5DB432367D77C0BBD3C4818E2B155DB0C513A367E86D2636B35623E938725DB2AE6592C56BDA8734C8EF392C087DABCB7314A524c2qFI" TargetMode="External"/><Relationship Id="rId10" Type="http://schemas.openxmlformats.org/officeDocument/2006/relationships/hyperlink" Target="consultantplus://offline/ref=7313B9D7D90BC46F5DB432207E1B9CB2D7CDD78A2F175FE19D41A530B73D2063F31625BC7B3753B1AC6EC6962E84DE6585A4342F1F61ABCAc6qEI" TargetMode="External"/><Relationship Id="rId19" Type="http://schemas.openxmlformats.org/officeDocument/2006/relationships/hyperlink" Target="consultantplus://offline/ref=7313B9D7D90BC46F5DB432207E1B9CB2D7CCD7872D135FE19D41A530B73D2063F31625BC7B3450BBAF6EC6962E84DE6585A4342F1F61ABCAc6qEI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313B9D7D90BC46F5DB432367D77C0BBD3C4818E2B1A5CB2C514A367E86D2636B35623E92A7205BEAE6C8CC769CFD1658EcBq9I" TargetMode="External"/><Relationship Id="rId14" Type="http://schemas.openxmlformats.org/officeDocument/2006/relationships/hyperlink" Target="consultantplus://offline/ref=7313B9D7D90BC46F5DB432367D77C0BBD3C4818E2B155DB0C513A367E86D2636B35623E938725DB2AE6592C66ADA8734C8EF392C087DABCB7314A524c2qFI" TargetMode="External"/><Relationship Id="rId22" Type="http://schemas.openxmlformats.org/officeDocument/2006/relationships/hyperlink" Target="consultantplus://offline/ref=7313B9D7D90BC46F5DB432207E1B9CB2D7CCD7872D135FE19D41A530B73D2063F31625BC7C3153BAA531C3833FDCD36C92BA37320363A9cCqBI" TargetMode="External"/><Relationship Id="rId27" Type="http://schemas.openxmlformats.org/officeDocument/2006/relationships/hyperlink" Target="consultantplus://offline/ref=7313B9D7D90BC46F5DB432367D77C0BBD3C4818E2B155DB0C513A367E86D2636B35623E938725DB2AE6592C663DA8734C8EF392C087DABCB7314A524c2qFI" TargetMode="External"/><Relationship Id="rId30" Type="http://schemas.openxmlformats.org/officeDocument/2006/relationships/hyperlink" Target="consultantplus://offline/ref=7313B9D7D90BC46F5DB432367D77C0BBD3C4818E2B1652BFC111A367E86D2636B35623E938725DB2AE6592C26FDA8734C8EF392C087DABCB7314A524c2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1746</Words>
  <Characters>9956</Characters>
  <Application>Microsoft Office Word</Application>
  <DocSecurity>0</DocSecurity>
  <Lines>82</Lines>
  <Paragraphs>23</Paragraphs>
  <ScaleCrop>false</ScaleCrop>
  <Company/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2023-03-09T08:42:00Z</dcterms:created>
  <dcterms:modified xsi:type="dcterms:W3CDTF">2023-03-09T08:42:00Z</dcterms:modified>
</cp:coreProperties>
</file>