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7" w:rsidRPr="000A5607" w:rsidRDefault="000A5607" w:rsidP="000A560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  <w:lang w:eastAsia="ru-RU"/>
        </w:rPr>
      </w:pPr>
      <w:r w:rsidRPr="000A5607"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  <w:lang w:eastAsia="ru-RU"/>
        </w:rPr>
        <w:t>ПДС: новый механизм долгосрочных накоплений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 1 января 2024 года в России появился новый инструмент для формирования долгосрочных накоплений – программа долгосрочных сбережений. О целях нового инвестиционного инструмента, можно ли его считать альтернативой программе обязательного накопительного компонента, который был введен в 2001 году (6% от дохода) в интервью 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"https://finance.mail.ru/2024-02-04/dolgie-provody-na-pensiyu-kak-v-rossii-zarabotal-novyy-instrument-59643222/" </w:instrText>
      </w: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0A5607"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  <w:lang w:eastAsia="ru-RU"/>
        </w:rPr>
        <w:t>Финанс</w:t>
      </w:r>
      <w:proofErr w:type="spellEnd"/>
      <w:r w:rsidRPr="000A5607"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  <w:lang w:eastAsia="ru-RU"/>
        </w:rPr>
        <w:t xml:space="preserve"> </w:t>
      </w:r>
      <w:proofErr w:type="spellStart"/>
      <w:r w:rsidRPr="000A5607"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  <w:lang w:eastAsia="ru-RU"/>
        </w:rPr>
        <w:t>Mail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рассказала эксперт НИФИ Минфина России и портала «</w:t>
      </w:r>
      <w:proofErr w:type="spellStart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Моифинансы</w:t>
      </w:r>
      <w:proofErr w:type="gramStart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.р</w:t>
      </w:r>
      <w:proofErr w:type="gramEnd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spellEnd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 Ольга </w:t>
      </w:r>
      <w:proofErr w:type="spellStart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Дайнеко</w:t>
      </w:r>
      <w:proofErr w:type="spellEnd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4" w:history="1">
        <w:r w:rsidRPr="000A5607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Программа долгосрочных сбережений</w:t>
        </w:r>
      </w:hyperlink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это не замена накопительной части пенсии, формировавшейся до 2014 года. Несмотря на то, что средства на счете программы инвестируются,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прежде всего долгосрочный сберегательный финансовый инструмент, который позволяет накопить деньги на дополнительное пенсионное обеспечение или другие долгосрочные цели. Привлекательной составляющей является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софинансирование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взносов государством (пока в первые три года), налоговый вычет до 52 тысяч рублей и возможность досрочного использования сре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 в р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яде чрезвычайных ситуаций. Программа включает возможность перевода накопительной части пенсии на счет</w:t>
      </w: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 ПДС. Но необходимо учитывать, что при переводе пенсионных накоплений в ПДС вернуть обратно на пенсионный счет в НПФ/СФР их уже не получится. Если ранее в накопительной части пенсии использовались средства материнского капитала,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маткапитал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сформированный за счет его средств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инвестдоход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счет ПДС не поступят, средства вернутся в СФР (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маткапитал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нельзя использовать в программе долгосрочных сбережений).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Программа долгосрочная: минимальный срок договора – 15 лет либо достижение возраста 55 и 60 лет (женщины и мужчины соответственно). Срок отсчета 15-летнего срока сбережений ведется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даты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первого договора, а не по каждому договору в отдельности (если их несколько). Досрочно воспользоваться средствами можно в двух жизненных ситуациях: необходимость оплаты дорогостоящего лечения и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утрата кормильца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Выйти из программы можно и раньше установленного срока (15 лет или достижение установленного возраста), но придется понести некоторые потери: НПФ при расторжении договора выплачивает участнику программы выкупную сумму (личные взносы и инвестиционный доход в части или полностью в зависимости от срока и условий договора). Средства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государства, накопительная пенсия, переведенная в ПДС, а также доход от их размещения в выкупную стоимость не входят. Если на момент досрочного выхода участник программы уже воспользовался налоговыми вычетами, их придется вернуть обратно в бюджет.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 программе долгосрочных сбережений можно иметь несколько счетов: как для себя, так и в пользу другого человека (например, родственника).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НПФ, в котором открыт счет по ПДС, можно поменять, но в связи с тем, что перевод средств со счета ПДС из одного НПФ в другой возможен только через 5 лет (на шестой год до 31 марта), то к выбору НПФ для открытия счета по программе долгосрочных сбережений нужно относиться внимательно: изучить результаты деятельности НПФ относительно доходности, рейтинга и динамики по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рынку, стабильности и количеству средств в управлении.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 </w:t>
      </w:r>
      <w:proofErr w:type="spellStart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софинансировании</w:t>
      </w:r>
      <w:proofErr w:type="spellEnd"/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от государства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Максимально участник программы может получить 36 тысяч рублей в год в качестве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своих взносов. Для возможности получения дополнительных средств от государства нужно внести не менее 2 тысяч рублей в год, а размер «добавки» зависит от величины взносов и дохода участника программы: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при среднемесячном доходе до 80 тысяч рублей можно рассчитывать на доплату в пропорции 1:1. Чтобы получить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максимальные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36 тысяч рублей в год, на счет нужно внести не меньше 36 тысяч рублей собственных средств (100% доходность);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при доходе от 80 до 150 тысяч за 2 рубля от участника государство добавит 1 рубль. Чтобы получить максимальную доплату, потребуется внести 72 тысячи «своих»;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если доход от 150 тысяч и выше – за 4 внесенных на счет рубля государство добавит 1 рубль (доходность 25 %).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Щедрость государства распространяется на первые три года с момента первого взноса. Если счетов несколько (вне зависимости один это НПФ или разные), отсчет ведется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даты внесения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средств на первый счет.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Софинансирование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нескольким счетам происходит в рамках годового лимита в 36 тысяч рублей.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Помимо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можно рассчитывать на получение налогового вычета в части личных средств, внесенных на счет ПДС. Вычет ограничен 52 тысячами рублей (13% от суммы взносов в ПДС за год, максимум с 400 тысяч рублей в качестве взносов).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страховании</w:t>
      </w:r>
    </w:p>
    <w:p w:rsidR="000A5607" w:rsidRPr="000A5607" w:rsidRDefault="000A5607" w:rsidP="000A56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Программа включает в себя не только контроль инвестиционной стратегии со стороны регулятора, но и госгарантии по возмещению средств на счете ПДС в пределах 2,8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млн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рублей: взносы,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инвестдоход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ним застрахованы государством. Средства </w:t>
      </w:r>
      <w:proofErr w:type="spell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«пенсионные» деньги, отправленные в ПДС, также вернут. Поэтому, как и в случае гарантий по страхованию банковских вкладов, накопления выше гарантированной к возврату суммы лучше размещать </w:t>
      </w:r>
      <w:proofErr w:type="gramStart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0A56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разных НПФ.</w:t>
      </w:r>
    </w:p>
    <w:p w:rsidR="00A10156" w:rsidRPr="000A5607" w:rsidRDefault="00A10156" w:rsidP="000A56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156" w:rsidRPr="000A5607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5607"/>
    <w:rsid w:val="000A5607"/>
    <w:rsid w:val="006E402B"/>
    <w:rsid w:val="00811AB3"/>
    <w:rsid w:val="008C640A"/>
    <w:rsid w:val="00A10156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paragraph" w:styleId="1">
    <w:name w:val="heading 1"/>
    <w:basedOn w:val="a"/>
    <w:link w:val="10"/>
    <w:uiPriority w:val="9"/>
    <w:qFormat/>
    <w:rsid w:val="000A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fin.kirov.ru/upload/iblock/777/kzysqdaa005uyxzftffen9m53rf1jtmx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2024-06-24T11:12:00Z</dcterms:created>
  <dcterms:modified xsi:type="dcterms:W3CDTF">2024-06-24T11:13:00Z</dcterms:modified>
</cp:coreProperties>
</file>