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E5" w:rsidRPr="00A632E5" w:rsidRDefault="00A632E5" w:rsidP="00A632E5">
      <w:pPr>
        <w:shd w:val="clear" w:color="auto" w:fill="FFFFFF"/>
        <w:spacing w:after="600" w:line="240" w:lineRule="auto"/>
        <w:jc w:val="center"/>
        <w:outlineLvl w:val="0"/>
        <w:rPr>
          <w:rFonts w:ascii="Segoe UI" w:eastAsia="Times New Roman" w:hAnsi="Segoe UI" w:cs="Segoe UI"/>
          <w:b/>
          <w:color w:val="212529"/>
          <w:kern w:val="36"/>
          <w:sz w:val="48"/>
          <w:szCs w:val="48"/>
          <w:lang w:eastAsia="ru-RU"/>
        </w:rPr>
      </w:pPr>
      <w:r w:rsidRPr="00A632E5">
        <w:rPr>
          <w:rFonts w:ascii="Segoe UI" w:eastAsia="Times New Roman" w:hAnsi="Segoe UI" w:cs="Segoe UI"/>
          <w:b/>
          <w:color w:val="212529"/>
          <w:kern w:val="36"/>
          <w:sz w:val="48"/>
          <w:szCs w:val="48"/>
          <w:lang w:eastAsia="ru-RU"/>
        </w:rPr>
        <w:t>Советы ипотечным заемщикам</w:t>
      </w:r>
    </w:p>
    <w:p w:rsidR="00A632E5" w:rsidRPr="00A632E5" w:rsidRDefault="00A632E5" w:rsidP="00A632E5">
      <w:pPr>
        <w:shd w:val="clear" w:color="auto" w:fill="FFFFFF"/>
        <w:spacing w:after="600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3756044"/>
            <wp:effectExtent l="19050" t="0" r="3810" b="0"/>
            <wp:docPr id="1" name="Рисунок 1" descr="https://www.bakai.kg/media/ckeditor_files/2020/01/29/kak-vzyat-ipotechnyij-kr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kai.kg/media/ckeditor_files/2020/01/29/kak-vzyat-ipotechnyij-kred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5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2E5" w:rsidRPr="00A632E5" w:rsidRDefault="00A632E5" w:rsidP="00A632E5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Эксперт проекта НИФИ Минфина </w:t>
      </w:r>
      <w:proofErr w:type="spellStart"/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моифинансы</w:t>
      </w:r>
      <w:proofErr w:type="gramStart"/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.р</w:t>
      </w:r>
      <w:proofErr w:type="gramEnd"/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ф</w:t>
      </w:r>
      <w:proofErr w:type="spellEnd"/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Ольга </w:t>
      </w:r>
      <w:proofErr w:type="spellStart"/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Дайнеко</w:t>
      </w:r>
      <w:proofErr w:type="spellEnd"/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рассказала в интервью </w:t>
      </w:r>
      <w:proofErr w:type="spellStart"/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fldChar w:fldCharType="begin"/>
      </w:r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instrText xml:space="preserve"> HYPERLINK "https://www.gazeta.ru/business/news/2024/02/29/22444082.shtml" </w:instrText>
      </w:r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fldChar w:fldCharType="separate"/>
      </w:r>
      <w:r w:rsidRPr="00A632E5">
        <w:rPr>
          <w:rFonts w:ascii="Segoe UI" w:eastAsia="Times New Roman" w:hAnsi="Segoe UI" w:cs="Segoe UI"/>
          <w:color w:val="007BFF"/>
          <w:sz w:val="27"/>
          <w:lang w:eastAsia="ru-RU"/>
        </w:rPr>
        <w:t>Газета.ру</w:t>
      </w:r>
      <w:proofErr w:type="spellEnd"/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fldChar w:fldCharType="end"/>
      </w:r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 пять советов для ипотечных заемщиков в России.</w:t>
      </w:r>
    </w:p>
    <w:p w:rsidR="00A632E5" w:rsidRPr="00A632E5" w:rsidRDefault="00A632E5" w:rsidP="00A632E5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Основные правила, которые помогут справиться с ипотечным «испытанием»:</w:t>
      </w:r>
    </w:p>
    <w:p w:rsidR="00A632E5" w:rsidRPr="00A632E5" w:rsidRDefault="00A632E5" w:rsidP="00A632E5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1. При принятии решения важно правильно оценить свои финансовые возможности: учесть не только ипотечный платеж, но и все обязательные ежемесячные расходы;</w:t>
      </w:r>
    </w:p>
    <w:p w:rsidR="00A632E5" w:rsidRPr="00A632E5" w:rsidRDefault="00A632E5" w:rsidP="00A632E5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2. Внимательно относиться к срокам внесения очередного платежа (планировать бюджет, исключить спонтанные траты);</w:t>
      </w:r>
    </w:p>
    <w:p w:rsidR="00A632E5" w:rsidRPr="00A632E5" w:rsidRDefault="00A632E5" w:rsidP="00A632E5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3. Использовать возможности досрочного частичного погашения. В самом начале ипотечного «пути» даже небольшие, но регулярные суммы, внесенные </w:t>
      </w:r>
      <w:proofErr w:type="gramStart"/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сверх</w:t>
      </w:r>
      <w:proofErr w:type="gramEnd"/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положенного, помогут сократить переплату. Что именно уменьшить за счет «</w:t>
      </w:r>
      <w:proofErr w:type="spellStart"/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досрочек</w:t>
      </w:r>
      <w:proofErr w:type="spellEnd"/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» (срок кредитования или размер ежемесячного платежа) лучше решать по обстоятельствам. Нужно </w:t>
      </w:r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lastRenderedPageBreak/>
        <w:t>учитывать, что досрочное погашение-это хорошо, но если все «свободные» деньги отправлять в ипотеку, не имея подушки финансовой безопасности, в сложной финансовой ситуации платить будет нечем и усилия по скорейшей выплате долга будут напрасны. При наличии уже имеющейся низкой процентной ставки (например, по госпрограммам) в целом практичнее отправить лишние деньги на вклад (когда проценты по сбережениям выше) или другие консервативные инструменты (например, облигации);</w:t>
      </w:r>
    </w:p>
    <w:p w:rsidR="00A632E5" w:rsidRPr="00A632E5" w:rsidRDefault="00A632E5" w:rsidP="00A632E5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4. Помнить, что при снижении ключевой ставки Банка России, можно обратиться в свой банк с просьбой о снижении действующей процентной ставки по ипотеке. </w:t>
      </w:r>
      <w:proofErr w:type="spellStart"/>
      <w:proofErr w:type="gramStart"/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Исключение-программы</w:t>
      </w:r>
      <w:proofErr w:type="spellEnd"/>
      <w:proofErr w:type="gramEnd"/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с господдержкой (по ним свое регулирование без учета политики банка). При отказе можно будет рассмотреть предложения по рефинансированию в других кредитных учреждениях (имеет смысл при снижении ставки не менее</w:t>
      </w:r>
      <w:proofErr w:type="gramStart"/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,</w:t>
      </w:r>
      <w:proofErr w:type="gramEnd"/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чем на 2 %). Если в этом году пришлось взять на себя обязательства по ипотеке в размере 18 % годовых, нужно регулярно искать способы для более комфортных условий кредитования в дальнейшем;</w:t>
      </w:r>
    </w:p>
    <w:p w:rsidR="00A632E5" w:rsidRPr="00A632E5" w:rsidRDefault="00A632E5" w:rsidP="00A632E5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5. В сложной финансовой ситуации не «прятать голову в песок», а сразу сообщать об этом своему </w:t>
      </w:r>
      <w:proofErr w:type="spellStart"/>
      <w:proofErr w:type="gramStart"/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кредитору-выход</w:t>
      </w:r>
      <w:proofErr w:type="spellEnd"/>
      <w:proofErr w:type="gramEnd"/>
      <w:r w:rsidRPr="00A632E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обязательно найдется. Ипотечный заемщик, попавший в сложную жизненную ситуацию, может претендовать на ипотечные кредитные каникулы длительностью до 6 месяцев. Эта «передышка» может помочь исправить ситуацию без негативных последствий просрочек по платежам.</w:t>
      </w:r>
    </w:p>
    <w:p w:rsidR="00A10156" w:rsidRDefault="00A10156"/>
    <w:sectPr w:rsidR="00A10156" w:rsidSect="00C1298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32E5"/>
    <w:rsid w:val="006E402B"/>
    <w:rsid w:val="008C640A"/>
    <w:rsid w:val="009E34C1"/>
    <w:rsid w:val="00A10156"/>
    <w:rsid w:val="00A632E5"/>
    <w:rsid w:val="00B66BC2"/>
    <w:rsid w:val="00BA72F3"/>
    <w:rsid w:val="00C12982"/>
    <w:rsid w:val="00C6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56"/>
  </w:style>
  <w:style w:type="paragraph" w:styleId="1">
    <w:name w:val="heading 1"/>
    <w:basedOn w:val="a"/>
    <w:link w:val="10"/>
    <w:uiPriority w:val="9"/>
    <w:qFormat/>
    <w:rsid w:val="00A63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32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2024-05-22T11:25:00Z</dcterms:created>
  <dcterms:modified xsi:type="dcterms:W3CDTF">2024-05-22T11:33:00Z</dcterms:modified>
</cp:coreProperties>
</file>