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61" w:rsidRDefault="00455361">
      <w:pPr>
        <w:pStyle w:val="Standard"/>
      </w:pPr>
      <w:bookmarkStart w:id="0" w:name="_GoBack"/>
      <w:bookmarkEnd w:id="0"/>
    </w:p>
    <w:tbl>
      <w:tblPr>
        <w:tblW w:w="960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455361">
        <w:tblPrEx>
          <w:tblCellMar>
            <w:top w:w="0" w:type="dxa"/>
            <w:bottom w:w="0" w:type="dxa"/>
          </w:tblCellMar>
        </w:tblPrEx>
        <w:tc>
          <w:tcPr>
            <w:tcW w:w="9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61" w:rsidRDefault="00455361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455361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9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61" w:rsidRDefault="00D77940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Об основных направлениях бюджетной</w:t>
            </w:r>
          </w:p>
          <w:p w:rsidR="00455361" w:rsidRDefault="00D77940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и налоговой политики муниципального образования</w:t>
            </w:r>
          </w:p>
          <w:p w:rsidR="00455361" w:rsidRDefault="00D77940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Большекитякское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сельское поселение  для составления проекта  бюджета</w:t>
            </w:r>
          </w:p>
          <w:p w:rsidR="00455361" w:rsidRDefault="00D77940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>Большекитякское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 сельское поселение</w:t>
            </w:r>
          </w:p>
          <w:p w:rsidR="00455361" w:rsidRDefault="00D77940">
            <w:pPr>
              <w:pStyle w:val="Standard"/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на 202</w:t>
            </w:r>
            <w:r>
              <w:rPr>
                <w:rFonts w:ascii="Calibri" w:eastAsia="Times New Roman CYR" w:hAnsi="Calibri" w:cs="Times New Roman CYR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год и на плановый период 2026 и 202</w:t>
            </w:r>
            <w:r>
              <w:rPr>
                <w:rFonts w:ascii="Calibri" w:eastAsia="Times New Roman CYR" w:hAnsi="Calibri" w:cs="Times New Roman CYR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годов»</w:t>
            </w:r>
          </w:p>
          <w:p w:rsidR="00455361" w:rsidRDefault="00455361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455361" w:rsidRDefault="00455361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</w:tr>
    </w:tbl>
    <w:p w:rsidR="00455361" w:rsidRDefault="00D77940">
      <w:pPr>
        <w:spacing w:line="100" w:lineRule="atLeast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Положением о бюджетном процессе в муниципальном образовании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от 25.02.2020 года № 5 «Об утверждении Положения 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бюджетном процессе в муниципальном образовании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Малмыжского района Кировской области»,  в целях составления проекта бюджета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на 2025 год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администрация Болшекитя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кского сельского поселения Малмыжского района Кировской области</w:t>
      </w:r>
      <w:r>
        <w:rPr>
          <w:rFonts w:eastAsia="Times New Roman" w:cs="Times New Roman"/>
          <w:color w:val="00000A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подготовила </w:t>
      </w:r>
      <w:r>
        <w:rPr>
          <w:rFonts w:eastAsia="Times New Roman" w:cs="Times New Roman"/>
          <w:color w:val="00000A"/>
          <w:kern w:val="0"/>
          <w:sz w:val="28"/>
          <w:szCs w:val="28"/>
          <w:lang w:eastAsia="ar-SA" w:bidi="ar-SA"/>
        </w:rPr>
        <w:t>основные направления бюджетной и налоговой политики в муниципальном образовании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Большекитякское</w:t>
      </w:r>
      <w:r>
        <w:rPr>
          <w:rFonts w:eastAsia="Times New Roman" w:cs="Times New Roman"/>
          <w:color w:val="00000A"/>
          <w:kern w:val="0"/>
          <w:sz w:val="28"/>
          <w:szCs w:val="28"/>
          <w:lang w:eastAsia="ar-SA" w:bidi="ar-SA"/>
        </w:rPr>
        <w:t xml:space="preserve"> сельское поселение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Малмыжского района Кировской области</w:t>
      </w:r>
      <w:r>
        <w:rPr>
          <w:rFonts w:eastAsia="Times New Roman" w:cs="Times New Roman"/>
          <w:color w:val="00000A"/>
          <w:kern w:val="0"/>
          <w:sz w:val="28"/>
          <w:szCs w:val="28"/>
          <w:lang w:eastAsia="ar-SA" w:bidi="ar-SA"/>
        </w:rPr>
        <w:t xml:space="preserve"> 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25</w:t>
      </w:r>
      <w:r>
        <w:rPr>
          <w:rFonts w:eastAsia="Times New Roman" w:cs="Times New Roman"/>
          <w:color w:val="00000A"/>
          <w:kern w:val="0"/>
          <w:sz w:val="28"/>
          <w:szCs w:val="28"/>
          <w:lang w:eastAsia="ar-SA" w:bidi="ar-SA"/>
        </w:rPr>
        <w:t xml:space="preserve"> год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согласно прило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жению.</w:t>
      </w:r>
    </w:p>
    <w:p w:rsidR="00455361" w:rsidRDefault="00455361">
      <w:pPr>
        <w:widowControl/>
        <w:spacing w:line="100" w:lineRule="atLeast"/>
        <w:ind w:firstLine="709"/>
        <w:textAlignment w:val="auto"/>
        <w:rPr>
          <w:rFonts w:eastAsia="SimSu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455361" w:rsidRDefault="00455361">
      <w:pPr>
        <w:pStyle w:val="Standard"/>
        <w:autoSpaceDE w:val="0"/>
        <w:spacing w:before="48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</w:t>
      </w: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Основные направления бюджетной и налоговой политики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сельское поселение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2025 год и  на плановый период </w:t>
      </w:r>
      <w:r>
        <w:rPr>
          <w:rFonts w:eastAsia="Times New Roman CYR" w:cs="Times New Roman"/>
          <w:b/>
          <w:bCs/>
          <w:sz w:val="28"/>
          <w:szCs w:val="28"/>
        </w:rPr>
        <w:t>202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>6</w:t>
      </w:r>
      <w:r>
        <w:rPr>
          <w:rFonts w:eastAsia="Times New Roman CYR" w:cs="Times New Roman"/>
          <w:b/>
          <w:bCs/>
          <w:sz w:val="28"/>
          <w:szCs w:val="28"/>
        </w:rPr>
        <w:t xml:space="preserve"> и 20</w:t>
      </w:r>
      <w:r>
        <w:rPr>
          <w:rFonts w:eastAsia="Microsoft JhengHei Light" w:cs="Times New Roman"/>
          <w:b/>
          <w:bCs/>
          <w:sz w:val="28"/>
          <w:szCs w:val="28"/>
        </w:rPr>
        <w:t>2</w:t>
      </w:r>
      <w:r>
        <w:rPr>
          <w:rFonts w:eastAsia="Microsoft JhengHei Light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Основные направления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бюджетной и налоговой политики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на </w:t>
      </w:r>
      <w:r>
        <w:rPr>
          <w:rFonts w:eastAsia="Times New Roman CYR" w:cs="Times New Roman"/>
          <w:sz w:val="28"/>
          <w:szCs w:val="28"/>
        </w:rPr>
        <w:t>202</w:t>
      </w:r>
      <w:r>
        <w:rPr>
          <w:rFonts w:eastAsia="Times New Roman CYR" w:cs="Times New Roman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плановый период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 xml:space="preserve"> </w:t>
      </w:r>
      <w:r>
        <w:rPr>
          <w:rFonts w:eastAsia="Times New Roman CYR" w:cs="Times New Roman"/>
          <w:sz w:val="28"/>
          <w:szCs w:val="28"/>
          <w:lang w:val="ru-RU"/>
        </w:rPr>
        <w:t>2026 и 2027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 подготовлены в соответствии с требованиями статьи 172 Бюджетного кодекса Российской Федерации и решения сельской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Думы № 5 от 25.02.2020 года «Об утверждении Положения о бюджетном процессе в муниципальном образовании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Малмыжского района Кировской области».</w:t>
      </w: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 Основные направления налоговой политики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Большек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итякское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сельское поселение  </w:t>
      </w:r>
    </w:p>
    <w:p w:rsidR="00455361" w:rsidRDefault="00D77940">
      <w:pPr>
        <w:pStyle w:val="Standard"/>
        <w:autoSpaceDE w:val="0"/>
        <w:jc w:val="center"/>
      </w:pPr>
      <w:r>
        <w:rPr>
          <w:rFonts w:eastAsia="Times New Roman CYR" w:cs="Times New Roman"/>
          <w:b/>
          <w:bCs/>
          <w:sz w:val="28"/>
          <w:szCs w:val="28"/>
          <w:lang w:val="ru-RU"/>
        </w:rPr>
        <w:t xml:space="preserve"> на </w:t>
      </w:r>
      <w:r>
        <w:rPr>
          <w:rFonts w:eastAsia="Times New Roman CYR" w:cs="Times New Roman"/>
          <w:b/>
          <w:bCs/>
          <w:sz w:val="28"/>
          <w:szCs w:val="28"/>
        </w:rPr>
        <w:t>202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>5</w:t>
      </w:r>
      <w:r>
        <w:rPr>
          <w:rFonts w:eastAsia="Times New Roman CYR" w:cs="Times New Roman"/>
          <w:b/>
          <w:bCs/>
          <w:sz w:val="28"/>
          <w:szCs w:val="28"/>
        </w:rPr>
        <w:t>-202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1.1. Приоритетные направления налоговой политики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сельское поселение  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на </w:t>
      </w:r>
      <w:r>
        <w:rPr>
          <w:rFonts w:eastAsia="Times New Roman CYR" w:cs="Times New Roman"/>
          <w:b/>
          <w:bCs/>
          <w:sz w:val="28"/>
          <w:szCs w:val="28"/>
        </w:rPr>
        <w:t>202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>5</w:t>
      </w:r>
      <w:r>
        <w:rPr>
          <w:rFonts w:eastAsia="Times New Roman CYR" w:cs="Times New Roman"/>
          <w:b/>
          <w:bCs/>
          <w:sz w:val="28"/>
          <w:szCs w:val="28"/>
        </w:rPr>
        <w:t>-202</w:t>
      </w:r>
      <w:r>
        <w:rPr>
          <w:rFonts w:eastAsia="Times New Roman CYR" w:cs="Times New Roman"/>
          <w:b/>
          <w:bCs/>
          <w:sz w:val="28"/>
          <w:szCs w:val="28"/>
          <w:lang w:val="ru-RU"/>
        </w:rPr>
        <w:t>7</w:t>
      </w:r>
      <w:r>
        <w:rPr>
          <w:rFonts w:eastAsia="Times New Roman CYR" w:cs="Times New Roman"/>
          <w:b/>
          <w:bCs/>
          <w:sz w:val="28"/>
          <w:szCs w:val="28"/>
        </w:rPr>
        <w:t xml:space="preserve"> годы</w:t>
      </w: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Мероприятия, предусмотренные основными направлениями налоговой политики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поселение, рассчитаны до 2027 года, что укладывается в концепцию среднесрочного планирования и позволит достичь исполнения поставленных целей.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Налоговая политика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направлена на: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улучшение качества администрирования доходных источников местного бюджета;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повышение эффективности взаимодействия органов государственной власти области, органов местного самоуправления и федеральных органов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государственной власти;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оптимизацию состава налоговых льгот с учетом оценки их социальной и бюджетной эффективности;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целом реализация основных направлений налоговой политики поселения позволит: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повысить уровень ответственности главных администраторов дох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одов бюджета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за выполнение плановых показателей поступления доходов;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скоординировать действия органа исполнительной власти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с налогов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ыми органами,  увеличения собираемости налогов на территории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;</w:t>
      </w:r>
    </w:p>
    <w:p w:rsidR="00455361" w:rsidRDefault="00D77940">
      <w:pPr>
        <w:pStyle w:val="Standard"/>
        <w:shd w:val="clear" w:color="auto" w:fill="FFFFFF"/>
        <w:tabs>
          <w:tab w:val="left" w:pos="900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сохранить налоговые льготы по земельному налогу, установленные решением </w:t>
      </w:r>
      <w:r>
        <w:rPr>
          <w:rFonts w:eastAsia="Times New Roman CYR" w:cs="Times New Roman"/>
          <w:sz w:val="28"/>
          <w:szCs w:val="28"/>
          <w:lang w:val="ru-RU"/>
        </w:rPr>
        <w:t>Большекитякской сельской Думы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(представлены в пр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иложении №1 к настоящим основным направлениям бюджетной и налоговой политики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плановый период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годов);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совершенствовать механизмы использования собственности поселений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455361" w:rsidRDefault="00455361">
      <w:pPr>
        <w:pStyle w:val="Standard"/>
        <w:autoSpaceDE w:val="0"/>
        <w:ind w:firstLine="54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1.2. Показатели прогноза социально-экономического развития</w:t>
      </w:r>
    </w:p>
    <w:p w:rsidR="00455361" w:rsidRDefault="00D77940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поселение, положенные в основу формирования налоговой политики на 2025-202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</w:t>
      </w:r>
    </w:p>
    <w:p w:rsidR="00455361" w:rsidRDefault="00455361">
      <w:pPr>
        <w:pStyle w:val="Standard"/>
        <w:autoSpaceDE w:val="0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основу формирования налоговой политики муниципального обра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зования на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среднесрочную перспективу до 2027 года положены основные показатели прогноза социально-экономического развития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на 2025-202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годы.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Основные показатели, заложенные прогнозом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социально-экономического развития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на 2024 год, были достигнуты и будут сохранены в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году и на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годы.</w:t>
      </w:r>
    </w:p>
    <w:p w:rsidR="00455361" w:rsidRDefault="00455361">
      <w:pPr>
        <w:pStyle w:val="Standard"/>
        <w:autoSpaceDE w:val="0"/>
        <w:ind w:left="35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1.3. Основные параметры налоговых и неналоговых доходов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Arial CYR" w:eastAsia="Arial CYR" w:hAnsi="Arial CYR" w:cs="Arial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сельское поселение  </w:t>
      </w:r>
    </w:p>
    <w:p w:rsidR="00455361" w:rsidRDefault="00D77940">
      <w:pPr>
        <w:pStyle w:val="Standard"/>
        <w:autoSpaceDE w:val="0"/>
        <w:jc w:val="center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плановый период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расчете налогового потенциала на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 учтено внесение изменений в федеральное и областное законодательства о налогах и сборах.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 расчете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налогового потенциала учтена сумма льгот по налоговым платежам, установленных Налоговым кодексом Российской Федерации, законами  Кировскй области и решениями 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поселение.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 расчетам главных администраторо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поступления налоговых и неналоговых доходов в бюджет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сельское поселение в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году составят 1283,1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тыс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рублей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2026 году по прогнозам главных администраторов в бюджет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сельское поселение поступит налоговых и неналоговых доходов  </w:t>
      </w:r>
      <w:r>
        <w:rPr>
          <w:rFonts w:eastAsia="Times New Roman CYR" w:cs="Times New Roman"/>
          <w:sz w:val="28"/>
          <w:szCs w:val="28"/>
        </w:rPr>
        <w:t>1313,53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тыс.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рублей ,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году –1358,97 тыс.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рублей .</w:t>
      </w:r>
      <w:proofErr w:type="gramEnd"/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Налоговая политика в отношении федеральных налогов</w:t>
      </w:r>
    </w:p>
    <w:p w:rsidR="00455361" w:rsidRDefault="00D77940">
      <w:pPr>
        <w:pStyle w:val="Standard"/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Налоги на доходы физических лиц</w:t>
      </w:r>
    </w:p>
    <w:p w:rsidR="00455361" w:rsidRDefault="00455361">
      <w:pPr>
        <w:pStyle w:val="Standard"/>
        <w:autoSpaceDE w:val="0"/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Налог на доходы физических лиц является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одним из основных налоговых источников доходов  бюджета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сельское поселение.</w:t>
      </w:r>
    </w:p>
    <w:p w:rsidR="00455361" w:rsidRDefault="00D77940">
      <w:pPr>
        <w:pStyle w:val="Standard"/>
        <w:tabs>
          <w:tab w:val="left" w:pos="2700"/>
        </w:tabs>
        <w:autoSpaceDE w:val="0"/>
        <w:spacing w:line="360" w:lineRule="auto"/>
        <w:ind w:firstLine="66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Прогноз поступления налога рассчитан по фонду оплаты труда каждого поселения района с применением сложившейся ставки налога за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рассчитанной исходя из поступлений налога, за исключением разовых поступлений и фонда оплаты труда.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Учитывая темпы роста фонда заработной платы работников по прогнозу социально-экономического развития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сельское по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селение  на 2025-2027 годы и вносимые изменения в федеральное законодательство, поступления в бюджет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сельское поселение  налога на доходы физических лиц на 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-202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 предполагаются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выше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уровня предыдущего 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да.</w:t>
      </w:r>
    </w:p>
    <w:p w:rsidR="00455361" w:rsidRDefault="00455361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Налоги на имущество</w:t>
      </w:r>
    </w:p>
    <w:p w:rsidR="00455361" w:rsidRDefault="00D77940">
      <w:pPr>
        <w:pStyle w:val="Standard"/>
        <w:tabs>
          <w:tab w:val="left" w:pos="2700"/>
        </w:tabs>
        <w:autoSpaceDE w:val="0"/>
        <w:spacing w:line="360" w:lineRule="auto"/>
        <w:ind w:firstLine="6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Проведенный анализ налоговой базы по налогу на имущество физических лиц  показал огромный нереализованный потенциал в этой сфере. Переоценка инвентаризационной стоимости  объектов недвижимого имущества, принадлежащего гражданам 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праве собственности,  дополнительных доходов в виде налога на имущество физических лиц. Данные средства   планируется  получить в текущем году.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По-прежнему в бюджет поселения планируется зачисление налога на имущество физических лиц и земельного налога в 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азмере 100%.</w:t>
      </w:r>
    </w:p>
    <w:p w:rsidR="00455361" w:rsidRDefault="00455361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Основные задачи и цели по увеличению неналоговых доходов</w:t>
      </w:r>
    </w:p>
    <w:p w:rsidR="00455361" w:rsidRDefault="0045536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35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Источниками неналоговых доходов являются  доходы от использования имущества, находящегося в муниципальной  собственности, доходы от продажи материальных и нематериальных активов,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доходы от оказания платных услуг казенными учреждениями и штрафные санкции.</w:t>
      </w:r>
    </w:p>
    <w:p w:rsidR="00455361" w:rsidRDefault="00455361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tabs>
          <w:tab w:val="left" w:pos="720"/>
        </w:tabs>
        <w:autoSpaceDE w:val="0"/>
        <w:ind w:left="720" w:hanging="360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Основные направления бюджетной политики муниципального образования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сельское поселение на 202</w:t>
      </w:r>
      <w:r>
        <w:rPr>
          <w:rFonts w:ascii="Calibri" w:eastAsia="Times New Roman CYR" w:hAnsi="Calibri" w:cs="Times New Roman CYR"/>
          <w:b/>
          <w:bCs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-202</w:t>
      </w:r>
      <w:r>
        <w:rPr>
          <w:rFonts w:ascii="Calibri" w:eastAsia="Times New Roman CYR" w:hAnsi="Calibri" w:cs="Times New Roman CYR"/>
          <w:b/>
          <w:bCs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годы.</w:t>
      </w:r>
    </w:p>
    <w:p w:rsidR="00455361" w:rsidRDefault="00455361">
      <w:pPr>
        <w:pStyle w:val="Standard"/>
        <w:autoSpaceDE w:val="0"/>
        <w:ind w:left="72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tabs>
          <w:tab w:val="left" w:pos="2700"/>
        </w:tabs>
        <w:autoSpaceDE w:val="0"/>
        <w:spacing w:line="360" w:lineRule="auto"/>
        <w:ind w:firstLine="6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Переходя к вопросу бюджетной политики в области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расходов, что, как в текущем, так и в следующем году бюджетная политика будет направлена на решение важнейших социальных задач.</w:t>
      </w:r>
    </w:p>
    <w:p w:rsidR="00455361" w:rsidRDefault="00455361">
      <w:pPr>
        <w:pStyle w:val="Standard"/>
        <w:autoSpaceDE w:val="0"/>
        <w:spacing w:line="360" w:lineRule="auto"/>
        <w:ind w:firstLine="70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В основу выбора основных направлений бюджетной политики положены Указы Президента Российской Федерации от 07 мая  2012 года: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596 "О долгосрочной государственной экономической политике";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№ 597 "О мероприятиях по реализации государственной социальной политики";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№ 599 "О мерах по реализации государственной политики в области образования и науки";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№ 600 "О мерах по обеспечению гражд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ан Российской Федерации доступным и комфортным жильем и повышению качества жилищно-коммунальных услуг";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№ 601 "Об основных направлениях совершенствования системы государственного управления";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№ 606 "О мерах по реализации демографической политики Российской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Федерации".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Основная цель бюджетной политики  – повышение качества жизни населения.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Данная стратегическая цель будет обеспечиваться через достижение следующих целей: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обеспечение сбалансированного экономического развития поселения;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увеличение доходов 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аселения;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повышение естественного прироста населения, улучшение здоровья населения.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достижения описанных целей  администрации поселения  предстоит решить  следующие задачи: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создание условий для формирования благоприятного инвестиционного климата;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стимулирование условий для внедрения перспективных видов инновационной продукции, работ и услуг;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создание условий для социального развития сельских территорий;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развитие инженерных сетей;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стимулирование развития малого и среднего предпринимательства;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внедрение в органах  муниципального образования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Большекитякское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сельское поселение новых принципов и процедур управления по результатам;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 повышение обеспеченности населения услугами  образования, культуры, , содействие занятости населения, повышение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профессионализма и конкурентоспособности трудовых ресурсов через реализацию муниципальных программ;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создание условий для увеличения объемов жилищного строительства через  реализацию муниципальных   программ жилищного строительства территории.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 решении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задач будут использованы следующие инструменты бюджетной политики: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повышение заработной платы работников бюджетной сферы;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реализация целевых программ в отраслях бюджетной сферы.</w:t>
      </w: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455361">
      <w:pPr>
        <w:pStyle w:val="Standard"/>
        <w:autoSpaceDE w:val="0"/>
        <w:ind w:firstLine="709"/>
        <w:jc w:val="both"/>
        <w:rPr>
          <w:rFonts w:ascii="Arial CYR" w:eastAsia="Arial CYR" w:hAnsi="Arial CYR" w:cs="Arial CYR"/>
          <w:sz w:val="20"/>
          <w:szCs w:val="20"/>
        </w:rPr>
      </w:pPr>
    </w:p>
    <w:p w:rsidR="00455361" w:rsidRDefault="00455361">
      <w:pPr>
        <w:pStyle w:val="Standard"/>
        <w:autoSpaceDE w:val="0"/>
        <w:ind w:firstLine="709"/>
        <w:jc w:val="center"/>
        <w:rPr>
          <w:rFonts w:ascii="Calibri" w:eastAsia="Times New Roman CYR" w:hAnsi="Calibri" w:cs="Times New Roman CYR"/>
          <w:b/>
          <w:bCs/>
          <w:sz w:val="28"/>
          <w:szCs w:val="28"/>
          <w:lang w:val="ru-RU"/>
        </w:rPr>
      </w:pPr>
    </w:p>
    <w:p w:rsidR="00455361" w:rsidRDefault="00D77940">
      <w:pPr>
        <w:pStyle w:val="Standard"/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 сфере культуры.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Основным направлением деятельности муниципальных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учреждений культурно-досугового типа является обеспечение условий по поддержке профессионального и любительского творчества, клубов по интересам и любительских объединений, организация и участие в смотрах, конкурсах, фестивалях с целью выявления и поддержк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 молодых дарований, расширение  связей по созданию совместных мероприятий.</w:t>
      </w: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 сфере жилищно-коммунального хозяйства.</w:t>
      </w:r>
    </w:p>
    <w:p w:rsidR="00455361" w:rsidRDefault="00D7794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Основными направлениями  по благоустройству территории поселения планируются:</w:t>
      </w:r>
    </w:p>
    <w:p w:rsidR="00455361" w:rsidRDefault="00D77940">
      <w:pPr>
        <w:pStyle w:val="Standard"/>
        <w:numPr>
          <w:ilvl w:val="0"/>
          <w:numId w:val="2"/>
        </w:numPr>
        <w:tabs>
          <w:tab w:val="left" w:pos="993"/>
          <w:tab w:val="left" w:pos="1069"/>
        </w:tabs>
        <w:autoSpaceDE w:val="0"/>
        <w:ind w:left="1008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дорожной деятельности в части содержания и рем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онта дорог в поселении;</w:t>
      </w:r>
    </w:p>
    <w:p w:rsidR="00455361" w:rsidRDefault="00D77940">
      <w:pPr>
        <w:pStyle w:val="Standard"/>
        <w:numPr>
          <w:ilvl w:val="0"/>
          <w:numId w:val="1"/>
        </w:numPr>
        <w:tabs>
          <w:tab w:val="left" w:pos="1069"/>
        </w:tabs>
        <w:autoSpaceDE w:val="0"/>
        <w:ind w:left="1008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уличного освещения населенных пунктов;</w:t>
      </w:r>
    </w:p>
    <w:p w:rsidR="00455361" w:rsidRDefault="00D77940">
      <w:pPr>
        <w:pStyle w:val="Standard"/>
        <w:numPr>
          <w:ilvl w:val="0"/>
          <w:numId w:val="1"/>
        </w:numPr>
        <w:tabs>
          <w:tab w:val="left" w:pos="1069"/>
        </w:tabs>
        <w:autoSpaceDE w:val="0"/>
        <w:ind w:left="1008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содержания мест захоронения;</w:t>
      </w:r>
    </w:p>
    <w:p w:rsidR="00455361" w:rsidRDefault="00D77940">
      <w:pPr>
        <w:pStyle w:val="Standard"/>
        <w:numPr>
          <w:ilvl w:val="0"/>
          <w:numId w:val="1"/>
        </w:numPr>
        <w:tabs>
          <w:tab w:val="left" w:pos="1069"/>
        </w:tabs>
        <w:autoSpaceDE w:val="0"/>
        <w:ind w:left="1008" w:firstLine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сбора,  вывоза и утилизации бытовых отходов;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   организация благоустройства населенных пунктов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Результат: повышение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комфортности жилья, улучшение состояния дорог, освещенности и благоустройства населенных пунктов, находящихся на территории поселения.</w:t>
      </w: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 сфере  управления.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Следует обеспечить неукоснительное выполнение нормативов формирования расходов на обеспечение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деятельности органов местного самоуправления.</w:t>
      </w: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Рост численности муниципальных служащих не допускается.</w:t>
      </w:r>
    </w:p>
    <w:p w:rsidR="00455361" w:rsidRDefault="00455361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55361" w:rsidRDefault="00D77940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 области обеспечения безопасности граждан, гражданской обороны и предотвращения чрезвычайных ситуаций. 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сфере обеспечения безопасности граждан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включен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ы ассигнования на содержание специалиста ВУС.</w:t>
      </w:r>
    </w:p>
    <w:p w:rsidR="00455361" w:rsidRDefault="00D77940">
      <w:pPr>
        <w:pStyle w:val="Standard"/>
        <w:autoSpaceDE w:val="0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сфере гражданской обороны предусмотрены мероприятия по предотвращению чрезвычайных ситуаций</w:t>
      </w:r>
      <w:r>
        <w:rPr>
          <w:rFonts w:ascii="Calibri" w:eastAsia="Times New Roman CYR" w:hAnsi="Calibri" w:cs="Times New Roman CYR"/>
          <w:sz w:val="28"/>
          <w:szCs w:val="28"/>
          <w:lang w:val="ru-RU"/>
        </w:rPr>
        <w:t xml:space="preserve"> </w:t>
      </w:r>
      <w:r>
        <w:rPr>
          <w:rFonts w:eastAsia="Times New Roman CYR" w:cs="Times New Roman"/>
          <w:sz w:val="28"/>
          <w:szCs w:val="28"/>
          <w:lang w:val="ru-RU"/>
        </w:rPr>
        <w:t>(содержание муниципальной пожарной охраны)</w:t>
      </w:r>
      <w:r>
        <w:rPr>
          <w:rFonts w:eastAsia="Times New Roman CYR" w:cs="Times New Roman"/>
          <w:sz w:val="28"/>
          <w:szCs w:val="28"/>
        </w:rPr>
        <w:t>.</w:t>
      </w:r>
    </w:p>
    <w:p w:rsidR="00455361" w:rsidRDefault="00455361">
      <w:pPr>
        <w:pStyle w:val="Standard"/>
        <w:tabs>
          <w:tab w:val="left" w:pos="600"/>
        </w:tabs>
        <w:autoSpaceDE w:val="0"/>
        <w:ind w:firstLine="709"/>
        <w:jc w:val="both"/>
        <w:rPr>
          <w:rFonts w:eastAsia="Arial CYR" w:cs="Times New Roman"/>
          <w:sz w:val="28"/>
          <w:szCs w:val="28"/>
        </w:rPr>
      </w:pPr>
    </w:p>
    <w:p w:rsidR="00455361" w:rsidRDefault="00455361">
      <w:pPr>
        <w:pStyle w:val="Standard"/>
        <w:rPr>
          <w:rFonts w:cs="Times New Roman"/>
        </w:rPr>
      </w:pPr>
    </w:p>
    <w:sectPr w:rsidR="0045536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40" w:rsidRDefault="00D77940">
      <w:r>
        <w:separator/>
      </w:r>
    </w:p>
  </w:endnote>
  <w:endnote w:type="continuationSeparator" w:id="0">
    <w:p w:rsidR="00D77940" w:rsidRDefault="00D7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40" w:rsidRDefault="00D77940">
      <w:r>
        <w:rPr>
          <w:color w:val="000000"/>
        </w:rPr>
        <w:separator/>
      </w:r>
    </w:p>
  </w:footnote>
  <w:footnote w:type="continuationSeparator" w:id="0">
    <w:p w:rsidR="00D77940" w:rsidRDefault="00D7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71CB"/>
    <w:multiLevelType w:val="multilevel"/>
    <w:tmpl w:val="8E7CBDEE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5361"/>
    <w:rsid w:val="003C609D"/>
    <w:rsid w:val="00455361"/>
    <w:rsid w:val="00D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Гулюса</cp:lastModifiedBy>
  <cp:revision>2</cp:revision>
  <cp:lastPrinted>2020-11-10T10:42:00Z</cp:lastPrinted>
  <dcterms:created xsi:type="dcterms:W3CDTF">2024-11-20T11:51:00Z</dcterms:created>
  <dcterms:modified xsi:type="dcterms:W3CDTF">2024-11-20T11:51:00Z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