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E96350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13/46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ED6A8A">
        <w:rPr>
          <w:b/>
          <w:sz w:val="28"/>
          <w:szCs w:val="28"/>
        </w:rPr>
        <w:t>Большекитякское</w:t>
      </w:r>
      <w:proofErr w:type="spellEnd"/>
      <w:r w:rsidR="00065A79">
        <w:rPr>
          <w:b/>
          <w:sz w:val="28"/>
          <w:szCs w:val="28"/>
        </w:rPr>
        <w:t xml:space="preserve"> сельское поселение Малмыжского</w:t>
      </w:r>
      <w:r w:rsidR="00721D26">
        <w:rPr>
          <w:b/>
          <w:sz w:val="28"/>
          <w:szCs w:val="28"/>
        </w:rPr>
        <w:t xml:space="preserve"> район</w:t>
      </w:r>
      <w:r w:rsidR="00065A79">
        <w:rPr>
          <w:b/>
          <w:sz w:val="28"/>
          <w:szCs w:val="28"/>
        </w:rPr>
        <w:t>а</w:t>
      </w:r>
      <w:r w:rsidR="00721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в муниципальную собственность муниципального образования  </w:t>
      </w:r>
      <w:proofErr w:type="spellStart"/>
      <w:r w:rsidR="00065A79">
        <w:rPr>
          <w:b/>
          <w:sz w:val="28"/>
          <w:szCs w:val="28"/>
        </w:rPr>
        <w:t>Малмыжский</w:t>
      </w:r>
      <w:proofErr w:type="spellEnd"/>
      <w:r w:rsidR="00065A7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ED6A8A">
        <w:rPr>
          <w:b w:val="0"/>
          <w:sz w:val="28"/>
          <w:szCs w:val="28"/>
        </w:rPr>
        <w:t>Большекитякское</w:t>
      </w:r>
      <w:proofErr w:type="spellEnd"/>
      <w:r w:rsidR="00065A79">
        <w:rPr>
          <w:b w:val="0"/>
          <w:sz w:val="28"/>
          <w:szCs w:val="28"/>
        </w:rPr>
        <w:t xml:space="preserve"> сельское поселение Малмыжского района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proofErr w:type="spellStart"/>
      <w:r w:rsidR="00065A79">
        <w:rPr>
          <w:b w:val="0"/>
          <w:sz w:val="28"/>
          <w:szCs w:val="28"/>
        </w:rPr>
        <w:t>Малмыжский</w:t>
      </w:r>
      <w:proofErr w:type="spellEnd"/>
      <w:r w:rsidR="00065A79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 Кировской области,</w:t>
      </w:r>
      <w:r w:rsidR="00065A79">
        <w:rPr>
          <w:b w:val="0"/>
          <w:sz w:val="28"/>
          <w:szCs w:val="28"/>
        </w:rPr>
        <w:t xml:space="preserve"> представленного главой </w:t>
      </w:r>
      <w:proofErr w:type="spellStart"/>
      <w:r w:rsidR="00ED6A8A">
        <w:rPr>
          <w:b w:val="0"/>
          <w:sz w:val="28"/>
          <w:szCs w:val="28"/>
        </w:rPr>
        <w:t>Большекитякского</w:t>
      </w:r>
      <w:proofErr w:type="spellEnd"/>
      <w:r w:rsidR="00065A79">
        <w:rPr>
          <w:b w:val="0"/>
          <w:sz w:val="28"/>
          <w:szCs w:val="28"/>
        </w:rPr>
        <w:t xml:space="preserve"> сельского поселения </w:t>
      </w:r>
      <w:r w:rsidR="00ED6A8A">
        <w:rPr>
          <w:b w:val="0"/>
          <w:sz w:val="28"/>
          <w:szCs w:val="28"/>
        </w:rPr>
        <w:t>Майоровым</w:t>
      </w:r>
      <w:r w:rsidR="00065A79">
        <w:rPr>
          <w:b w:val="0"/>
          <w:sz w:val="28"/>
          <w:szCs w:val="28"/>
        </w:rPr>
        <w:t xml:space="preserve"> </w:t>
      </w:r>
      <w:r w:rsidR="00ED6A8A">
        <w:rPr>
          <w:b w:val="0"/>
          <w:sz w:val="28"/>
          <w:szCs w:val="28"/>
        </w:rPr>
        <w:t>В</w:t>
      </w:r>
      <w:r w:rsidR="00065A79">
        <w:rPr>
          <w:b w:val="0"/>
          <w:sz w:val="28"/>
          <w:szCs w:val="28"/>
        </w:rPr>
        <w:t>.</w:t>
      </w:r>
      <w:r w:rsidR="00ED6A8A">
        <w:rPr>
          <w:b w:val="0"/>
          <w:sz w:val="28"/>
          <w:szCs w:val="28"/>
        </w:rPr>
        <w:t>С</w:t>
      </w:r>
      <w:r w:rsidR="00065A79">
        <w:rPr>
          <w:b w:val="0"/>
          <w:sz w:val="28"/>
          <w:szCs w:val="28"/>
        </w:rPr>
        <w:t>.,</w:t>
      </w:r>
      <w:r>
        <w:rPr>
          <w:b w:val="0"/>
          <w:sz w:val="28"/>
          <w:szCs w:val="28"/>
        </w:rPr>
        <w:t xml:space="preserve"> руководствуясь статьей 21 Устава муниципального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Малмыжского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proofErr w:type="spellStart"/>
      <w:r w:rsidR="00ED6A8A">
        <w:rPr>
          <w:sz w:val="28"/>
          <w:szCs w:val="28"/>
        </w:rPr>
        <w:t>Большекитякское</w:t>
      </w:r>
      <w:proofErr w:type="spellEnd"/>
      <w:r w:rsidR="00065A79">
        <w:rPr>
          <w:sz w:val="28"/>
          <w:szCs w:val="28"/>
        </w:rPr>
        <w:t xml:space="preserve"> сельское поселение Малмыжского района</w:t>
      </w:r>
      <w:r w:rsidR="0078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 w:rsidR="00C16C3E">
        <w:rPr>
          <w:sz w:val="28"/>
          <w:szCs w:val="28"/>
        </w:rPr>
        <w:t>Малмыжский</w:t>
      </w:r>
      <w:proofErr w:type="spellEnd"/>
      <w:r w:rsidR="00C16C3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proofErr w:type="spellStart"/>
      <w:r w:rsidR="00ED6A8A">
        <w:rPr>
          <w:sz w:val="28"/>
          <w:szCs w:val="28"/>
        </w:rPr>
        <w:t>Большекитякской</w:t>
      </w:r>
      <w:proofErr w:type="spellEnd"/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       </w:t>
      </w:r>
      <w:r w:rsidR="00F0043E">
        <w:rPr>
          <w:sz w:val="28"/>
        </w:rPr>
        <w:t xml:space="preserve"> 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1B2D31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 ______________________________________________________________</w:t>
      </w:r>
    </w:p>
    <w:p w:rsidR="003C0778" w:rsidRDefault="003C0778" w:rsidP="003C0778">
      <w:pPr>
        <w:pStyle w:val="Standard"/>
        <w:sectPr w:rsidR="003C0778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УТВЕРЖДЕН  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</w:t>
      </w: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решением районной Думы                                                                                                                                                           решением </w:t>
      </w:r>
      <w:proofErr w:type="spellStart"/>
      <w:r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Большекитякской</w:t>
      </w:r>
      <w:proofErr w:type="spellEnd"/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Малмыжского района                                                                                                                                                                   сельской Думы  </w:t>
      </w:r>
    </w:p>
    <w:p w:rsidR="003C0778" w:rsidRPr="003C0778" w:rsidRDefault="00E96350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 29.04.2025 № 13/46</w:t>
      </w:r>
      <w:bookmarkStart w:id="0" w:name="_GoBack"/>
      <w:bookmarkEnd w:id="0"/>
      <w:r w:rsidR="003C0778"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    П Е Р Е Ч Е Н Ь</w:t>
      </w: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образования  </w:t>
      </w:r>
      <w:proofErr w:type="spellStart"/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Большекитякское</w:t>
      </w:r>
      <w:proofErr w:type="spellEnd"/>
      <w:proofErr w:type="gramEnd"/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сельское поселение Малмыжского района Кировской области в муниципальную собственность муниципального образования  </w:t>
      </w:r>
      <w:proofErr w:type="spellStart"/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Малмыжский</w:t>
      </w:r>
      <w:proofErr w:type="spellEnd"/>
      <w:r w:rsidRPr="003C077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1984"/>
        <w:gridCol w:w="3402"/>
        <w:gridCol w:w="1985"/>
        <w:gridCol w:w="1559"/>
        <w:gridCol w:w="3402"/>
        <w:gridCol w:w="850"/>
      </w:tblGrid>
      <w:tr w:rsidR="003C0778" w:rsidRPr="003C0778" w:rsidTr="005E140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(протяженность,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3C0778" w:rsidRPr="003C0778" w:rsidTr="005E140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3C0778" w:rsidRPr="003C0778" w:rsidTr="005E140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Сооружение коммунального хозяйства (водопроводная сеть)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обл.,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м. р-н,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Большекитякское</w:t>
            </w:r>
            <w:proofErr w:type="spellEnd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с. п., д. </w:t>
            </w:r>
            <w:proofErr w:type="spellStart"/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Кошай</w:t>
            </w:r>
            <w:proofErr w:type="spellEnd"/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1745 метров, 43:17:000000:687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43170103</w:t>
            </w:r>
          </w:p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1966</w:t>
            </w: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778" w:rsidRPr="003C0778" w:rsidRDefault="003C0778" w:rsidP="003C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778">
              <w:rPr>
                <w:rFonts w:ascii="Times New Roman" w:eastAsia="Calibri" w:hAnsi="Times New Roman" w:cs="Times New Roman"/>
                <w:sz w:val="24"/>
                <w:szCs w:val="24"/>
              </w:rPr>
              <w:t>9371 рубль 86 копеек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C077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Решение Малмыжского районного суда Кировской области от 18.02.2025 № 2-56/2025, выписка из Единого государственного реестра недвижимости от 22.04.2025 № 43:17:000000:687-43/043/2025-2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78" w:rsidRPr="003C0778" w:rsidRDefault="003C0778" w:rsidP="003C0778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3C0778" w:rsidRPr="003C0778" w:rsidRDefault="003C0778" w:rsidP="003C0778">
      <w:pPr>
        <w:widowControl w:val="0"/>
        <w:suppressAutoHyphens/>
        <w:autoSpaceDN w:val="0"/>
        <w:spacing w:after="0" w:line="240" w:lineRule="auto"/>
        <w:ind w:left="6663" w:right="-545" w:hanging="426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C077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___________                                                                                                          </w:t>
      </w:r>
      <w:r w:rsidRPr="003C077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92C17" w:rsidRDefault="00C92C17" w:rsidP="003C0778">
      <w:pPr>
        <w:pStyle w:val="Standard"/>
      </w:pPr>
    </w:p>
    <w:sectPr w:rsidR="00C92C17" w:rsidSect="003C0778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61" w:rsidRDefault="00A71361" w:rsidP="007635FB">
      <w:pPr>
        <w:spacing w:after="0" w:line="240" w:lineRule="auto"/>
      </w:pPr>
      <w:r>
        <w:separator/>
      </w:r>
    </w:p>
  </w:endnote>
  <w:endnote w:type="continuationSeparator" w:id="0">
    <w:p w:rsidR="00A71361" w:rsidRDefault="00A71361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61" w:rsidRDefault="00A71361" w:rsidP="007635FB">
      <w:pPr>
        <w:spacing w:after="0" w:line="240" w:lineRule="auto"/>
      </w:pPr>
      <w:r>
        <w:separator/>
      </w:r>
    </w:p>
  </w:footnote>
  <w:footnote w:type="continuationSeparator" w:id="0">
    <w:p w:rsidR="00A71361" w:rsidRDefault="00A71361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78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1730E"/>
    <w:rsid w:val="00065A79"/>
    <w:rsid w:val="0008112C"/>
    <w:rsid w:val="000E1E84"/>
    <w:rsid w:val="00113048"/>
    <w:rsid w:val="00125CFC"/>
    <w:rsid w:val="001B2D31"/>
    <w:rsid w:val="001D269D"/>
    <w:rsid w:val="002B4EB9"/>
    <w:rsid w:val="002C35F0"/>
    <w:rsid w:val="002D560E"/>
    <w:rsid w:val="002E57BA"/>
    <w:rsid w:val="003B7643"/>
    <w:rsid w:val="003C0778"/>
    <w:rsid w:val="003D68AD"/>
    <w:rsid w:val="004E3FA3"/>
    <w:rsid w:val="005653A7"/>
    <w:rsid w:val="00617AFC"/>
    <w:rsid w:val="00721D26"/>
    <w:rsid w:val="00724F02"/>
    <w:rsid w:val="007635FB"/>
    <w:rsid w:val="00783D37"/>
    <w:rsid w:val="008471B2"/>
    <w:rsid w:val="00971E68"/>
    <w:rsid w:val="00972DCD"/>
    <w:rsid w:val="009A57D3"/>
    <w:rsid w:val="00A71361"/>
    <w:rsid w:val="00AF20DB"/>
    <w:rsid w:val="00B30105"/>
    <w:rsid w:val="00C16C3E"/>
    <w:rsid w:val="00C92C17"/>
    <w:rsid w:val="00D34D16"/>
    <w:rsid w:val="00D54139"/>
    <w:rsid w:val="00D77043"/>
    <w:rsid w:val="00DE3710"/>
    <w:rsid w:val="00E21B19"/>
    <w:rsid w:val="00E96350"/>
    <w:rsid w:val="00ED6A8A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B951"/>
  <w15:docId w15:val="{E34BFB42-F1C6-449B-8E6A-210693B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2025-04-24T07:41:00Z</cp:lastPrinted>
  <dcterms:created xsi:type="dcterms:W3CDTF">2025-04-24T07:51:00Z</dcterms:created>
  <dcterms:modified xsi:type="dcterms:W3CDTF">2025-04-29T10:23:00Z</dcterms:modified>
</cp:coreProperties>
</file>