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3218B" w14:textId="77777777" w:rsidR="00FA4881" w:rsidRDefault="00FA48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FA4881" w14:paraId="662540FF" w14:textId="77777777">
        <w:trPr>
          <w:trHeight w:val="1719"/>
        </w:trPr>
        <w:tc>
          <w:tcPr>
            <w:tcW w:w="7007" w:type="dxa"/>
          </w:tcPr>
          <w:p w14:paraId="0D0A7B9C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6634C64B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1A8150C" w14:textId="77777777" w:rsidR="00FA4881" w:rsidRDefault="00FA4881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783C331D" w14:textId="77777777" w:rsidR="00FA4881" w:rsidRDefault="00CC5C87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3881E3DC" w14:textId="5CE31AC9" w:rsidR="00FA4881" w:rsidRDefault="00CC5C87" w:rsidP="00525385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1" allowOverlap="1" wp14:anchorId="229C61B0" wp14:editId="645C74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3F85E" id="Прямая соединительная линия 2" o:spid="_x0000_s1026" style="position:absolute;flip:x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CB5968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31 марта </w:t>
            </w:r>
            <w:r w:rsidR="00DC760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489" w:type="dxa"/>
          </w:tcPr>
          <w:p w14:paraId="6A0F405E" w14:textId="77777777" w:rsidR="00FA4881" w:rsidRDefault="00CC5C87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9EC65F9" wp14:editId="0D10E783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B513A" w14:textId="77777777" w:rsidR="00F77040" w:rsidRDefault="00F77040">
      <w:pPr>
        <w:rPr>
          <w:rFonts w:ascii="Montserrat" w:hAnsi="Montserrat" w:cs="Times New Roman"/>
          <w:bCs/>
          <w:sz w:val="24"/>
          <w:szCs w:val="24"/>
        </w:rPr>
      </w:pPr>
    </w:p>
    <w:p w14:paraId="730BC67A" w14:textId="77777777" w:rsid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Почта России: рост выручки на фоне цифровой трансформации</w:t>
      </w:r>
    </w:p>
    <w:p w14:paraId="2B4A72CD" w14:textId="2711E5AB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b/>
          <w:bCs/>
          <w:color w:val="000000"/>
          <w:sz w:val="24"/>
          <w:szCs w:val="24"/>
        </w:rPr>
        <w:t>Почта России в 2024 году зафиксировала стремительные темпы роста фокусных направле</w:t>
      </w:r>
      <w:bookmarkStart w:id="0" w:name="_GoBack"/>
      <w:bookmarkEnd w:id="0"/>
      <w:r w:rsidRPr="00CB5968">
        <w:rPr>
          <w:rFonts w:ascii="Times New Roman" w:eastAsia="Graphik App" w:hAnsi="Times New Roman" w:cs="Times New Roman"/>
          <w:b/>
          <w:bCs/>
          <w:color w:val="000000"/>
          <w:sz w:val="24"/>
          <w:szCs w:val="24"/>
        </w:rPr>
        <w:t>ний бизнеса: доходы от услуг для электронной коммерции увеличились в 1,5 раза, такую же динамику продемонстрировали складские услуги.</w:t>
      </w:r>
      <w:r w:rsidRPr="00CB5968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14:paraId="3BC11067" w14:textId="7ECF04AE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ind w:firstLine="426"/>
        <w:jc w:val="both"/>
        <w:rPr>
          <w:rFonts w:ascii="Times New Roman" w:eastAsia="Graphik App" w:hAnsi="Times New Roman" w:cs="Times New Roman"/>
          <w:color w:val="000000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Выручка от услуг для компаний электронной торговли в 2024 году выросла на 3 млрд руб. </w:t>
      </w:r>
      <w:r w:rsidRPr="00CB59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Достигнута рекордная доля цифровых и гибридных, а также оплаченных знаками онлайн-оплаты писем: она увеличилась до 46%. Всего сервисом «Цифровая почта» уже пользуются более 15 млн частных клиентов, а число бизнес-отправителей в прошлом году росло самыми высокими темпами — к сервису подключились более 2 000 новых компаний за год. Также рекордное количество новых клиентов стали партнёрами логистического оператора через цифровую витрину — более 44 000 клиентов использовали цифровую оферту. После комплексного улучшения клиентского пути 80% пользователей выбирают цифровой способ подключения. </w:t>
      </w:r>
    </w:p>
    <w:p w14:paraId="789F132F" w14:textId="77777777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>Несмотря на значительное снижение традиционных сегментов бизнеса, в первую очередь, резкое сокращение доходов от трансграничных доставок, развитие современных направлений бизнеса обеспечило увеличение выручки от услуг на внутреннем рынке на 5%. Второй год подряд компания показывает рост выручки. Общая выручка Почты России (согласно отчетности по РСБУ) по итогам 2024 г. увеличилась на 3% — до 219 млрд руб. (212 млрд руб. в 2023 г.). </w:t>
      </w:r>
    </w:p>
    <w:p w14:paraId="09AFF521" w14:textId="77777777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  <w:highlight w:val="white"/>
        </w:rPr>
        <w:t>Почта России продолжает работать над внутренней эффективностью. Производительность труда по итогам прошлого года увеличилась почти на 17%. Рост расходов компании удалось сдержать на уровне ниже инфляции. Такие результаты стали возможны благодаря масштабной оптимизации процессов, внедрению новых технологических решений и автоматизации ключевых операций.</w:t>
      </w:r>
    </w:p>
    <w:p w14:paraId="3E5B9AA0" w14:textId="77777777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При росте выручки Почта России остается под давлением </w:t>
      </w:r>
      <w:proofErr w:type="spellStart"/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>внеоперационных</w:t>
      </w:r>
      <w:proofErr w:type="spellEnd"/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 факторов, таких как внешние </w:t>
      </w:r>
      <w:proofErr w:type="spellStart"/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>санкционные</w:t>
      </w:r>
      <w:proofErr w:type="spellEnd"/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 ограничения и стоимость обслуживания долга на фоне роста ключевой ставки ЦБ РФ. Проценты к уплате по кредитам в 2024 г. выросли до 16,7 млрд руб. Чистый убыток Почты России в 2024 г. составил 20,6 млрд руб.</w:t>
      </w:r>
    </w:p>
    <w:p w14:paraId="5B47C956" w14:textId="77777777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>«</w:t>
      </w:r>
      <w:r w:rsidRPr="00CB5968">
        <w:rPr>
          <w:rFonts w:ascii="Times New Roman" w:eastAsia="Graphik App" w:hAnsi="Times New Roman" w:cs="Times New Roman"/>
          <w:i/>
          <w:color w:val="000000"/>
          <w:sz w:val="24"/>
          <w:szCs w:val="24"/>
        </w:rPr>
        <w:t>Несмотря на все существующие вызовы Почта России стабильно гарантирует обеспечение жителей страны надёжными почтовыми услугами. Этот приоритет останется и в будущем: наша задача —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 </w:t>
      </w:r>
      <w:r w:rsidRPr="00CB5968">
        <w:rPr>
          <w:rFonts w:ascii="Times New Roman" w:eastAsia="Graphik App" w:hAnsi="Times New Roman" w:cs="Times New Roman"/>
          <w:i/>
          <w:color w:val="000000"/>
          <w:sz w:val="24"/>
          <w:szCs w:val="24"/>
        </w:rPr>
        <w:t>предоставлять каждому гражданину доступ к необходимым сервисам. Сегодня компания проходит период значительной трансформации, включающей в себя как цифровизацию множества процессов, так и обновление клиентских предложений во всех сегментах деятельности, а также повышение привлекательности работы в Почте. Мы последовательно проводим реформы управленческой модели, чтобы уменьшить число сотрудников в офисах и сосредоточить больше внимания на тех, кто является основой нашей компании, —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 </w:t>
      </w:r>
      <w:r w:rsidRPr="00CB5968">
        <w:rPr>
          <w:rFonts w:ascii="Times New Roman" w:eastAsia="Graphik App" w:hAnsi="Times New Roman" w:cs="Times New Roman"/>
          <w:i/>
          <w:color w:val="000000"/>
          <w:sz w:val="24"/>
          <w:szCs w:val="24"/>
        </w:rPr>
        <w:t>сотрудниках отделений и других производственных подразделений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», — отмечает генеральный директор АО «Почта России» </w:t>
      </w:r>
      <w:r w:rsidRPr="00CB5968">
        <w:rPr>
          <w:rFonts w:ascii="Times New Roman" w:eastAsia="Graphik App" w:hAnsi="Times New Roman" w:cs="Times New Roman"/>
          <w:b/>
          <w:color w:val="000000"/>
          <w:sz w:val="24"/>
          <w:szCs w:val="24"/>
        </w:rPr>
        <w:t>Михаил Волков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>.</w:t>
      </w:r>
    </w:p>
    <w:p w14:paraId="6C03C095" w14:textId="77777777" w:rsidR="00CB5968" w:rsidRP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t xml:space="preserve">Почта России продолжает нести высокую социальную нагрузку, обеспечивая гарантированную работу 38 000 отделений на всей территории страны. По поручению Президента России Владимира Путина компания продолжает программу ремонта сельских почтовых отделений: за последние три года обновлено более 3200 почтовых отделений, </w:t>
      </w:r>
      <w:r w:rsidRPr="00CB5968">
        <w:rPr>
          <w:rFonts w:ascii="Times New Roman" w:eastAsia="Graphik App" w:hAnsi="Times New Roman" w:cs="Times New Roman"/>
          <w:color w:val="000000"/>
          <w:sz w:val="24"/>
          <w:szCs w:val="24"/>
        </w:rPr>
        <w:lastRenderedPageBreak/>
        <w:t>расположенных в сельских и удалённых территориях. В 2024 г. Почта модернизировала по этой программе более 750 отделений. В прошлом году Почта России приняла около 350 000 бесплатных посылок для военнослужащих в зону проведения СВО. Также компания доставила более 600 000 бесплатных отправлений жителей Курской и Белгородской областей.</w:t>
      </w:r>
    </w:p>
    <w:p w14:paraId="66FFF3E3" w14:textId="77777777" w:rsidR="00CB5968" w:rsidRDefault="00CB5968" w:rsidP="00CB5968">
      <w:pPr>
        <w:pBdr>
          <w:top w:val="none" w:sz="4" w:space="0" w:color="000000"/>
          <w:left w:val="none" w:sz="4" w:space="31" w:color="000000"/>
          <w:bottom w:val="none" w:sz="4" w:space="0" w:color="000000"/>
          <w:right w:val="none" w:sz="4" w:space="0" w:color="000000"/>
        </w:pBdr>
        <w:jc w:val="center"/>
        <w:rPr>
          <w:rFonts w:ascii="Graphik App" w:hAnsi="Graphik App" w:cs="Graphik App"/>
        </w:rPr>
      </w:pPr>
    </w:p>
    <w:p w14:paraId="514A4B21" w14:textId="77777777" w:rsidR="00835C48" w:rsidRPr="00835C48" w:rsidRDefault="00835C48" w:rsidP="00835C4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A310D14" w14:textId="77777777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36CF74CF" w14:textId="77777777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</w:t>
      </w:r>
      <w:r w:rsidR="00D30CB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ких маршрутов Почты составляет 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4 млн километров. </w:t>
      </w:r>
    </w:p>
    <w:p w14:paraId="394577D3" w14:textId="77777777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3912AED9" w14:textId="77777777" w:rsidR="002C4F65" w:rsidRDefault="002C4F65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АО «Почта России»</w:t>
      </w:r>
    </w:p>
    <w:p w14:paraId="1CCA8277" w14:textId="77777777" w:rsidR="002C4F65" w:rsidRDefault="002C4F65" w:rsidP="002C4F6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Крудова Екатерина </w:t>
      </w:r>
    </w:p>
    <w:p w14:paraId="1FFBDB96" w14:textId="77777777" w:rsidR="002C4F65" w:rsidRDefault="002C4F65" w:rsidP="002C4F65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+7-915-104-14-64</w:t>
      </w:r>
    </w:p>
    <w:p w14:paraId="1C23C07E" w14:textId="77777777" w:rsidR="004A6A9F" w:rsidRPr="003E1599" w:rsidRDefault="00CB5968" w:rsidP="002C4F6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2C4F65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</w:rPr>
          <w:t>Press_service@russianpost.ru</w:t>
        </w:r>
      </w:hyperlink>
    </w:p>
    <w:sectPr w:rsidR="004A6A9F" w:rsidRPr="003E1599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tserrat">
    <w:altName w:val="Times New Roman"/>
    <w:charset w:val="00"/>
    <w:family w:val="auto"/>
    <w:pitch w:val="default"/>
  </w:font>
  <w:font w:name="Graphik App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3FD"/>
    <w:multiLevelType w:val="hybridMultilevel"/>
    <w:tmpl w:val="CAD0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1"/>
    <w:rsid w:val="0001318B"/>
    <w:rsid w:val="000144B0"/>
    <w:rsid w:val="00081540"/>
    <w:rsid w:val="00087517"/>
    <w:rsid w:val="000B2717"/>
    <w:rsid w:val="000E212D"/>
    <w:rsid w:val="000E7635"/>
    <w:rsid w:val="00110ECD"/>
    <w:rsid w:val="00126590"/>
    <w:rsid w:val="00185008"/>
    <w:rsid w:val="001953F8"/>
    <w:rsid w:val="00202F1E"/>
    <w:rsid w:val="002242BA"/>
    <w:rsid w:val="002357DE"/>
    <w:rsid w:val="0023637D"/>
    <w:rsid w:val="00254637"/>
    <w:rsid w:val="00264A88"/>
    <w:rsid w:val="002A0EEE"/>
    <w:rsid w:val="002A1AE9"/>
    <w:rsid w:val="002C107B"/>
    <w:rsid w:val="002C4F65"/>
    <w:rsid w:val="002E4CC7"/>
    <w:rsid w:val="002E7884"/>
    <w:rsid w:val="00367706"/>
    <w:rsid w:val="00376D91"/>
    <w:rsid w:val="003B05FA"/>
    <w:rsid w:val="003B2DE3"/>
    <w:rsid w:val="003C41A6"/>
    <w:rsid w:val="003E1599"/>
    <w:rsid w:val="004043A6"/>
    <w:rsid w:val="00446E2B"/>
    <w:rsid w:val="00476577"/>
    <w:rsid w:val="004A6A9F"/>
    <w:rsid w:val="00525385"/>
    <w:rsid w:val="00551222"/>
    <w:rsid w:val="00553141"/>
    <w:rsid w:val="005625A4"/>
    <w:rsid w:val="00563051"/>
    <w:rsid w:val="00581E9A"/>
    <w:rsid w:val="00590C68"/>
    <w:rsid w:val="005A2317"/>
    <w:rsid w:val="00613C9A"/>
    <w:rsid w:val="0066530C"/>
    <w:rsid w:val="00696345"/>
    <w:rsid w:val="006B1548"/>
    <w:rsid w:val="006F0E26"/>
    <w:rsid w:val="0073069C"/>
    <w:rsid w:val="00740F1D"/>
    <w:rsid w:val="0074286B"/>
    <w:rsid w:val="00750C91"/>
    <w:rsid w:val="00781E9A"/>
    <w:rsid w:val="007B1DFE"/>
    <w:rsid w:val="007C14C3"/>
    <w:rsid w:val="007C3D40"/>
    <w:rsid w:val="007F18A4"/>
    <w:rsid w:val="00802088"/>
    <w:rsid w:val="008171CD"/>
    <w:rsid w:val="00835C48"/>
    <w:rsid w:val="00872785"/>
    <w:rsid w:val="008B5C27"/>
    <w:rsid w:val="008C3F2E"/>
    <w:rsid w:val="009004B1"/>
    <w:rsid w:val="00901D8C"/>
    <w:rsid w:val="00902CCF"/>
    <w:rsid w:val="00963D55"/>
    <w:rsid w:val="009B5110"/>
    <w:rsid w:val="009E6979"/>
    <w:rsid w:val="009E759A"/>
    <w:rsid w:val="00A91573"/>
    <w:rsid w:val="00AC203F"/>
    <w:rsid w:val="00AD72E0"/>
    <w:rsid w:val="00B81221"/>
    <w:rsid w:val="00BA2860"/>
    <w:rsid w:val="00BA5F95"/>
    <w:rsid w:val="00BC06EF"/>
    <w:rsid w:val="00BD5F0F"/>
    <w:rsid w:val="00C12C81"/>
    <w:rsid w:val="00C31874"/>
    <w:rsid w:val="00C8343B"/>
    <w:rsid w:val="00CB5968"/>
    <w:rsid w:val="00CC5C87"/>
    <w:rsid w:val="00CD1F2A"/>
    <w:rsid w:val="00CF0C49"/>
    <w:rsid w:val="00D05F54"/>
    <w:rsid w:val="00D30CB1"/>
    <w:rsid w:val="00D3488C"/>
    <w:rsid w:val="00DB554C"/>
    <w:rsid w:val="00DC760A"/>
    <w:rsid w:val="00DD7E65"/>
    <w:rsid w:val="00DE405D"/>
    <w:rsid w:val="00E14934"/>
    <w:rsid w:val="00E67278"/>
    <w:rsid w:val="00EA5FB4"/>
    <w:rsid w:val="00EB7597"/>
    <w:rsid w:val="00ED54BD"/>
    <w:rsid w:val="00F03B64"/>
    <w:rsid w:val="00F250E3"/>
    <w:rsid w:val="00F77040"/>
    <w:rsid w:val="00FA4881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090"/>
  <w15:docId w15:val="{401EE4C8-DE88-4E3C-84D7-BBC926B6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3F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3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6366"/>
    <w:rPr>
      <w:color w:val="954F72" w:themeColor="followedHyperlink"/>
      <w:u w:val="single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35318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B10A03"/>
    <w:rPr>
      <w:sz w:val="16"/>
      <w:szCs w:val="16"/>
    </w:rPr>
  </w:style>
  <w:style w:type="character" w:styleId="a8">
    <w:name w:val="Strong"/>
    <w:basedOn w:val="a0"/>
    <w:uiPriority w:val="22"/>
    <w:qFormat/>
    <w:rsid w:val="008C7095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F064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qFormat/>
    <w:rsid w:val="0035318A"/>
    <w:pPr>
      <w:spacing w:after="160"/>
    </w:pPr>
    <w:rPr>
      <w:rFonts w:cstheme="minorBidi"/>
      <w:sz w:val="20"/>
      <w:szCs w:val="20"/>
    </w:rPr>
  </w:style>
  <w:style w:type="paragraph" w:styleId="af">
    <w:name w:val="Revision"/>
    <w:uiPriority w:val="99"/>
    <w:semiHidden/>
    <w:qFormat/>
    <w:rsid w:val="00B10A03"/>
    <w:rPr>
      <w:rFonts w:cs="Calibri"/>
    </w:rPr>
  </w:style>
  <w:style w:type="paragraph" w:customStyle="1" w:styleId="LO-normal">
    <w:name w:val="LO-normal"/>
    <w:qFormat/>
    <w:rPr>
      <w:rFonts w:ascii="DejaVu Serif" w:eastAsia="DejaVu Serif" w:hAnsi="DejaVu Serif" w:cs="DejaVu Serif"/>
      <w:sz w:val="24"/>
      <w:szCs w:val="24"/>
      <w:lang w:eastAsia="zh-CN" w:bidi="hi-I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C5C87"/>
    <w:pPr>
      <w:spacing w:after="0"/>
    </w:pPr>
    <w:rPr>
      <w:rFonts w:cs="Calibri"/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CC5C87"/>
    <w:rPr>
      <w:rFonts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5C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5C8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F77040"/>
    <w:pPr>
      <w:suppressAutoHyphens w:val="0"/>
      <w:spacing w:after="160" w:line="259" w:lineRule="auto"/>
      <w:ind w:left="720"/>
      <w:contextualSpacing/>
    </w:pPr>
    <w:rPr>
      <w:rFonts w:cstheme="minorBidi"/>
    </w:rPr>
  </w:style>
  <w:style w:type="paragraph" w:customStyle="1" w:styleId="RubrikaMK">
    <w:name w:val="Rubrika_MK"/>
    <w:basedOn w:val="a"/>
    <w:rsid w:val="00DB554C"/>
    <w:pPr>
      <w:spacing w:line="100" w:lineRule="atLeast"/>
      <w:jc w:val="center"/>
    </w:pPr>
    <w:rPr>
      <w:rFonts w:ascii="Times New Roman" w:eastAsia="Times" w:hAnsi="Times New Roman" w:cs="Times"/>
      <w:b/>
      <w:color w:val="80808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_service@russianpo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dc:description/>
  <cp:lastModifiedBy>Крудова Екатерина Александровна</cp:lastModifiedBy>
  <cp:revision>2</cp:revision>
  <cp:lastPrinted>2024-09-02T14:59:00Z</cp:lastPrinted>
  <dcterms:created xsi:type="dcterms:W3CDTF">2025-03-31T13:56:00Z</dcterms:created>
  <dcterms:modified xsi:type="dcterms:W3CDTF">2025-03-31T13:56:00Z</dcterms:modified>
  <dc:language>ru-RU</dc:language>
</cp:coreProperties>
</file>