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5. Порядок приема заявок на участие в конкурсе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5.1. Для участия в конкурсе субъекты малого предпринимательства подают организатору конкурса письменную заявку на участие в конкурсе согласно по прилагаемой форме № 1 к настоящему Положению на почтовый адрес: 612920, Кировская область,       г.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>, ул. Чернышевского, 2 а, ка</w:t>
      </w:r>
      <w:r w:rsidR="00852E69">
        <w:rPr>
          <w:rFonts w:ascii="Times New Roman" w:eastAsia="A" w:hAnsi="Times New Roman" w:cs="Times New Roman"/>
          <w:sz w:val="28"/>
          <w:szCs w:val="28"/>
        </w:rPr>
        <w:t>бинет № 32</w:t>
      </w:r>
      <w:bookmarkStart w:id="0" w:name="_GoBack"/>
      <w:bookmarkEnd w:id="0"/>
      <w:r w:rsidR="00852E69">
        <w:rPr>
          <w:rFonts w:ascii="Times New Roman" w:eastAsia="A" w:hAnsi="Times New Roman" w:cs="Times New Roman"/>
          <w:sz w:val="28"/>
          <w:szCs w:val="28"/>
        </w:rPr>
        <w:t>. тел. (83347) 2-28-83</w:t>
      </w:r>
      <w:r>
        <w:rPr>
          <w:rFonts w:ascii="Times New Roman" w:eastAsia="A" w:hAnsi="Times New Roman" w:cs="Times New Roman"/>
          <w:sz w:val="28"/>
          <w:szCs w:val="28"/>
        </w:rPr>
        <w:t>. К заявке прилагаются: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5.1.1. Данные об участнике конкурса по прилагаемой форме № 2 к настоящему Положению.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5.1.2. Копия свидетельства о государственной регистрации юридического лица или индивидуального предпринимателя.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5.1.3. Заверенная налоговым органом справка об отсутствии у субъекта малого предпринимательства задолженности по налоговым платежам в федеральный, областной бюджеты и бюджет </w:t>
      </w:r>
      <w:proofErr w:type="spellStart"/>
      <w:r>
        <w:rPr>
          <w:rFonts w:ascii="Times New Roman" w:eastAsia="A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района на первое число месяца, в котором объявлено о начале приема заявок на участие в конкурсе. При наличии задолженности по платежам в бюджеты субъект малого предпринимательства имеет право представить организатору конкурса документы, подтверждающие уплату задолженности по платежам в бюджеты, не позднее 3 рабочих дней </w:t>
      </w:r>
      <w:proofErr w:type="gramStart"/>
      <w:r>
        <w:rPr>
          <w:rFonts w:ascii="Times New Roman" w:eastAsia="A" w:hAnsi="Times New Roman" w:cs="Times New Roman"/>
          <w:sz w:val="28"/>
          <w:szCs w:val="28"/>
        </w:rPr>
        <w:t>с даты окончания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 xml:space="preserve"> приема заявок на участие в конкурсе. 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5.1.4. Копия формы расчета сумм налога на доходы физических лиц, исчисленных и удержанных налоговых агентов (форма - 6 НДФЛ), с отметкой межрайонной ИФНС России № 4 по Кировской области. 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5.1.5 Копия годовой расчетной ведомости (форма 4-ФСС РФ) с отметкой Государственного учреждения – Кировского регионального отделения Фонда социального страхования Российской Федерации.</w:t>
      </w:r>
    </w:p>
    <w:p w:rsidR="00B51696" w:rsidRDefault="00B51696" w:rsidP="00B51696">
      <w:pPr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5.1.6.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Копии отчетов 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деклараций (годовая - </w:t>
      </w:r>
      <w:hyperlink r:id="rId5" w:history="1">
        <w:r>
          <w:rPr>
            <w:rStyle w:val="a3"/>
            <w:color w:val="000000" w:themeColor="text1"/>
            <w:sz w:val="28"/>
            <w:szCs w:val="28"/>
          </w:rPr>
          <w:t>форма № 2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«Отчет о прибылях и убытках» бухгалтерского баланса при применении общей системы налогообложения или налоговая </w:t>
      </w:r>
      <w:hyperlink r:id="rId6" w:history="1">
        <w:r>
          <w:rPr>
            <w:rStyle w:val="a3"/>
            <w:color w:val="000000" w:themeColor="text1"/>
            <w:sz w:val="28"/>
            <w:szCs w:val="28"/>
          </w:rPr>
          <w:t>декларация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 налогу, уплачиваемому в связи с применением упрощенной системы налогообложения, и (или) ежеквартальные налоговые </w:t>
      </w:r>
      <w:hyperlink r:id="rId7" w:history="1">
        <w:r>
          <w:rPr>
            <w:rStyle w:val="a3"/>
            <w:color w:val="000000" w:themeColor="text1"/>
            <w:sz w:val="28"/>
            <w:szCs w:val="28"/>
          </w:rPr>
          <w:t>декларации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по единому налогу на вмененный доход </w:t>
      </w:r>
      <w:r>
        <w:rPr>
          <w:rFonts w:ascii="Times New Roman" w:hAnsi="Times New Roman"/>
          <w:sz w:val="28"/>
          <w:szCs w:val="28"/>
        </w:rPr>
        <w:t>для отдельных видов деятельности) с отметкой налогового органа, подтверждающей ведение хозяйственной деятельности.</w:t>
      </w:r>
      <w:proofErr w:type="gramEnd"/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5.1.7. Копии р</w:t>
      </w:r>
      <w:r>
        <w:rPr>
          <w:rFonts w:ascii="Times New Roman" w:hAnsi="Times New Roman" w:cs="Times New Roman"/>
          <w:sz w:val="28"/>
          <w:szCs w:val="28"/>
        </w:rPr>
        <w:t>екомендательны</w:t>
      </w:r>
      <w:r>
        <w:rPr>
          <w:rFonts w:ascii="Times New Roman" w:eastAsia="A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и/или благодарственны</w:t>
      </w:r>
      <w:r>
        <w:rPr>
          <w:rFonts w:ascii="Times New Roman" w:eastAsia="A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пис</w:t>
      </w:r>
      <w:r>
        <w:rPr>
          <w:rFonts w:ascii="Times New Roman" w:eastAsia="A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м, положительны</w:t>
      </w:r>
      <w:r>
        <w:rPr>
          <w:rFonts w:ascii="Times New Roman" w:eastAsia="A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отзыв</w:t>
      </w:r>
      <w:r>
        <w:rPr>
          <w:rFonts w:ascii="Times New Roman" w:eastAsia="A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потребителей, деловых партнеров</w:t>
      </w:r>
      <w:r>
        <w:rPr>
          <w:rFonts w:ascii="Times New Roman" w:eastAsia="A" w:hAnsi="Times New Roman" w:cs="Times New Roman"/>
          <w:sz w:val="28"/>
          <w:szCs w:val="28"/>
        </w:rPr>
        <w:t xml:space="preserve">, а также материалов с положительными отзывами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>(при наличии).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eastAsia="A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Копии документов, подтверждающих участие в</w:t>
      </w:r>
      <w:r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благотворительных, спонсорских программах, мероприятиях социальной направленности (при наличии).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Копии дипломов, свидетельств, грамот и иных документов, подтверждающих участие в различных выставках, конкурсах, ярмарках, фестивалях, форумах, и других подобных мероприятиях (при наличии)</w:t>
      </w:r>
      <w:r>
        <w:rPr>
          <w:rFonts w:ascii="Times New Roman" w:eastAsia="A" w:hAnsi="Times New Roman" w:cs="Times New Roman"/>
          <w:sz w:val="28"/>
          <w:szCs w:val="28"/>
        </w:rPr>
        <w:t>.</w:t>
      </w:r>
      <w:proofErr w:type="gramEnd"/>
    </w:p>
    <w:p w:rsidR="00B51696" w:rsidRDefault="00B51696" w:rsidP="00B516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5.1.10. Копии документов, подтверждающих оказание дополнительных мер социальной поддержки наемным работникам, указанных в подпункте 6.2.8 настоящего Положения (при наличии). 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5.1.11. Копии патентов, подтверждающих наличие запатентованных изделий (продукции, работ, услуг) собственного производства (при наличии).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5.1.12. Копии документов, подтверждающих внедрение передовых технологий и (или) инновационных разработок (договоров купли-продажи технологического оборудования, актов ввода в эксплуатацию, актов приема-передачи основных средств, кроме зданий, сооружений, и иных документов) (при наличии).</w:t>
      </w:r>
    </w:p>
    <w:p w:rsidR="00B51696" w:rsidRDefault="00B51696" w:rsidP="00B5169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Документы, указанные в подпунктах 5.1.3 – 5.1.10 настоящего Положения, представляются за предыдущий год и год, предшествующий предыдущему. Документы должны быть пронумерованы и сформированы в папку.</w:t>
      </w:r>
    </w:p>
    <w:p w:rsidR="0085534C" w:rsidRDefault="00852E69"/>
    <w:sectPr w:rsidR="0085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96"/>
    <w:rsid w:val="00852E69"/>
    <w:rsid w:val="00852F31"/>
    <w:rsid w:val="008D5CA0"/>
    <w:rsid w:val="00B5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96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69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B51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96"/>
    <w:pPr>
      <w:spacing w:after="0" w:line="240" w:lineRule="auto"/>
    </w:pPr>
    <w:rPr>
      <w:rFonts w:ascii="R" w:eastAsia="Times New Roman" w:hAnsi="R" w:cs="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69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B51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31A6315DF6CB23969D3CFB496DB92FF6636D55DB992C2CCCCF306E969A97FB8B083451681B0A3l5n5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31A6315DF6CB23969D3CFB496DB92FF6E32D253BB9E9FC6C4AA0AEB6EA620AFB7CA491781B0A25DlCn2H" TargetMode="External"/><Relationship Id="rId5" Type="http://schemas.openxmlformats.org/officeDocument/2006/relationships/hyperlink" Target="consultantplus://offline/ref=031A6315DF6CB23969D3CFB496DB92FF6E33D05DBD9A9FC6C4AA0AEB6EA620AFB7CA491781B0A359lCn2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2019-05-13T07:50:00Z</cp:lastPrinted>
  <dcterms:created xsi:type="dcterms:W3CDTF">2019-05-13T07:50:00Z</dcterms:created>
  <dcterms:modified xsi:type="dcterms:W3CDTF">2020-04-30T11:48:00Z</dcterms:modified>
</cp:coreProperties>
</file>