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"/>
        <w:numPr>
          <w:ilvl w:val="1"/>
          <w:numId w:val="2"/>
        </w:numPr>
      </w:pPr>
      <w:r>
        <w:rPr>
          <w:rFonts w:ascii="Times New Roman" w:hAnsi="Times New Roman"/>
          <w:i w:val="false"/>
          <w:iCs w:val="false"/>
          <w:u w:val="none"/>
        </w:rPr>
        <w:t>АДМИНИСТРАЦИЯ БОЛЬШЕКИТЯКСКОГО СЕЛЬСКОГО</w:t>
      </w:r>
    </w:p>
    <w:p>
      <w:pPr>
        <w:pStyle w:val="style2"/>
        <w:numPr>
          <w:ilvl w:val="1"/>
          <w:numId w:val="2"/>
        </w:numPr>
      </w:pPr>
      <w:r>
        <w:rPr>
          <w:rFonts w:ascii="Times New Roman" w:hAnsi="Times New Roman"/>
          <w:i w:val="false"/>
          <w:iCs w:val="false"/>
          <w:u w:val="none"/>
        </w:rPr>
        <w:t xml:space="preserve">ПОСЕЛЕНИЯ </w:t>
      </w:r>
    </w:p>
    <w:p>
      <w:pPr>
        <w:pStyle w:val="style2"/>
        <w:numPr>
          <w:ilvl w:val="1"/>
          <w:numId w:val="2"/>
        </w:numPr>
      </w:pPr>
      <w:r>
        <w:rPr>
          <w:rFonts w:ascii="Times New Roman" w:hAnsi="Times New Roman"/>
          <w:i w:val="false"/>
          <w:iCs w:val="false"/>
          <w:u w:val="none"/>
        </w:rPr>
        <w:t xml:space="preserve">МАЛМЫЖСКОГО РАЙОНА </w:t>
      </w:r>
      <w:r>
        <w:rPr>
          <w:rFonts w:ascii="Times New Roman" w:hAnsi="Times New Roman"/>
          <w:bCs/>
          <w:i w:val="false"/>
          <w:iCs w:val="false"/>
          <w:sz w:val="28"/>
        </w:rPr>
        <w:t>КИРОВСКОЙ ОБЛАСТИ</w:t>
      </w:r>
    </w:p>
    <w:p>
      <w:pPr>
        <w:pStyle w:val="style3"/>
        <w:numPr>
          <w:ilvl w:val="2"/>
          <w:numId w:val="2"/>
        </w:numPr>
      </w:pPr>
      <w:r>
        <w:rPr/>
      </w:r>
    </w:p>
    <w:p>
      <w:pPr>
        <w:pStyle w:val="style3"/>
        <w:numPr>
          <w:ilvl w:val="2"/>
          <w:numId w:val="2"/>
        </w:numPr>
      </w:pPr>
      <w:r>
        <w:rPr>
          <w:rFonts w:ascii="Times New Roman" w:hAnsi="Times New Roman"/>
          <w:sz w:val="32"/>
          <w:szCs w:val="32"/>
        </w:rPr>
        <w:t>ПОСТАНОВЛЕНИЕ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</w:rPr>
        <w:t>_____________                                                                                          № ______</w:t>
      </w:r>
    </w:p>
    <w:p>
      <w:pPr>
        <w:pStyle w:val="style0"/>
        <w:jc w:val="center"/>
      </w:pPr>
      <w:r>
        <w:rPr>
          <w:sz w:val="28"/>
        </w:rPr>
        <w:t>с.Большой Китяк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37"/>
        <w:tabs>
          <w:tab w:leader="none" w:pos="0" w:val="left"/>
          <w:tab w:leader="none" w:pos="540" w:val="left"/>
          <w:tab w:leader="none" w:pos="708" w:val="left"/>
          <w:tab w:leader="none" w:pos="2043" w:val="left"/>
        </w:tabs>
        <w:spacing w:after="0" w:before="0" w:line="100" w:lineRule="atLeast"/>
        <w:ind w:hanging="0" w:left="0" w:right="0"/>
        <w:jc w:val="center"/>
      </w:pPr>
      <w:r>
        <w:rPr>
          <w:b/>
          <w:sz w:val="28"/>
          <w:szCs w:val="28"/>
        </w:rPr>
        <w:t xml:space="preserve">Об утверждении Методики формирования налоговых и неналоговых доходов бюджета муниципального образования  Большекитякское сельское поселение  Малмыжского района Кировской области 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b/>
          <w:sz w:val="28"/>
          <w:szCs w:val="28"/>
        </w:rPr>
        <w:t xml:space="preserve">         </w:t>
      </w:r>
    </w:p>
    <w:p>
      <w:pPr>
        <w:pStyle w:val="style39"/>
        <w:spacing w:after="0" w:before="360"/>
        <w:ind w:firstLine="993" w:left="0" w:right="0"/>
        <w:jc w:val="both"/>
      </w:pPr>
      <w:r>
        <w:rPr>
          <w:b w:val="false"/>
          <w:sz w:val="28"/>
          <w:szCs w:val="28"/>
        </w:rPr>
        <w:t>В целях обеспечения формализованного подхода к прогнозированию доходов бюджета муниципального образования Большекитякское сельское поселение Малмыжского района Кировской области  на очередной финансовый год и на плановый период администрация  Большекитякского сельского поселения  Малмыжского района ПОСТАНОВЛЯЕТ:</w:t>
      </w:r>
    </w:p>
    <w:p>
      <w:pPr>
        <w:pStyle w:val="style38"/>
        <w:widowControl/>
        <w:ind w:firstLine="993" w:left="0" w:right="0"/>
        <w:jc w:val="both"/>
      </w:pPr>
      <w:r>
        <w:rPr>
          <w:rFonts w:ascii="Times New Roman" w:cs="Times New Roman" w:hAnsi="Times New Roman"/>
          <w:color w:val="000000"/>
          <w:sz w:val="28"/>
          <w:szCs w:val="28"/>
        </w:rPr>
        <w:t>1. Утвердить</w:t>
      </w:r>
      <w:r>
        <w:rPr>
          <w:rFonts w:ascii="Times New Roman" w:cs="Times New Roman" w:hAnsi="Times New Roman"/>
          <w:sz w:val="28"/>
          <w:szCs w:val="28"/>
        </w:rPr>
        <w:t xml:space="preserve"> Методику формирования налоговых и неналоговых доходов бюджета  муниципального образования Большекитякское сельское поселение Малмыжского района  согласно приложению.</w:t>
      </w:r>
    </w:p>
    <w:p>
      <w:pPr>
        <w:pStyle w:val="style0"/>
        <w:ind w:firstLine="993" w:left="0" w:right="0"/>
        <w:jc w:val="both"/>
      </w:pPr>
      <w:r>
        <w:rPr>
          <w:sz w:val="28"/>
          <w:szCs w:val="28"/>
        </w:rPr>
        <w:t xml:space="preserve">2. Специалисту по финансам  и бухгалтерскому учету  администрации  Большекитякского сельского поселения  обеспечить формирование налоговых и неналоговых доходов бюджета  поселения в соответствии с утвержденной </w:t>
      </w:r>
      <w:hyperlink r:id="rId2">
        <w:r>
          <w:rPr>
            <w:rStyle w:val="style26"/>
            <w:rStyle w:val="style26"/>
            <w:color w:val="000000"/>
            <w:sz w:val="28"/>
            <w:szCs w:val="28"/>
          </w:rPr>
          <w:t>Методикой</w:t>
        </w:r>
      </w:hyperlink>
      <w:r>
        <w:rPr>
          <w:color w:val="000000"/>
          <w:sz w:val="28"/>
          <w:szCs w:val="28"/>
        </w:rPr>
        <w:t>.</w:t>
      </w:r>
    </w:p>
    <w:p>
      <w:pPr>
        <w:pStyle w:val="style0"/>
        <w:ind w:firstLine="993" w:left="0" w:right="0"/>
        <w:jc w:val="both"/>
      </w:pPr>
      <w:r>
        <w:rPr/>
      </w:r>
    </w:p>
    <w:p>
      <w:pPr>
        <w:pStyle w:val="style36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8"/>
          <w:szCs w:val="28"/>
        </w:rPr>
        <w:t>Глава администрации</w:t>
      </w:r>
    </w:p>
    <w:p>
      <w:pPr>
        <w:pStyle w:val="style0"/>
        <w:jc w:val="both"/>
      </w:pPr>
      <w:r>
        <w:rPr>
          <w:sz w:val="28"/>
          <w:szCs w:val="28"/>
        </w:rPr>
        <w:t>сельского поселения           В.А. Калганов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</w:pPr>
      <w:r>
        <w:rPr>
          <w:sz w:val="28"/>
        </w:rPr>
        <w:t xml:space="preserve">ПОДГОТОВЛЕНО  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</w:rPr>
        <w:t xml:space="preserve">                                                                                                                       </w:t>
      </w:r>
    </w:p>
    <w:p>
      <w:pPr>
        <w:pStyle w:val="style0"/>
      </w:pPr>
      <w:r>
        <w:rPr>
          <w:sz w:val="28"/>
          <w:szCs w:val="28"/>
        </w:rPr>
        <w:t xml:space="preserve">Специалист по финансам и </w:t>
      </w:r>
    </w:p>
    <w:p>
      <w:pPr>
        <w:pStyle w:val="style0"/>
      </w:pPr>
      <w:r>
        <w:rPr>
          <w:sz w:val="28"/>
          <w:szCs w:val="28"/>
        </w:rPr>
        <w:t>бухгалтерскому учету                                                    Е.И. Чумакова</w:t>
      </w:r>
    </w:p>
    <w:p>
      <w:pPr>
        <w:pStyle w:val="style0"/>
        <w:tabs>
          <w:tab w:leader="none" w:pos="708" w:val="left"/>
          <w:tab w:leader="none" w:pos="6705" w:val="left"/>
        </w:tabs>
      </w:pPr>
      <w:r>
        <w:rPr>
          <w:sz w:val="28"/>
        </w:rPr>
        <w:tab/>
      </w:r>
    </w:p>
    <w:p>
      <w:pPr>
        <w:pStyle w:val="style0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8"/>
          <w:szCs w:val="28"/>
        </w:rPr>
        <w:t>Разослать: в дело -1,</w:t>
      </w:r>
      <w:r>
        <w:rPr/>
        <w:t xml:space="preserve"> </w:t>
      </w:r>
      <w:r>
        <w:rPr>
          <w:sz w:val="28"/>
          <w:szCs w:val="28"/>
        </w:rPr>
        <w:t>финансовому управлению администрации Малмыжского района – 1, в прокуратуру – 1.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37"/>
        <w:tabs>
          <w:tab w:leader="none" w:pos="0" w:val="left"/>
          <w:tab w:leader="none" w:pos="708" w:val="left"/>
          <w:tab w:leader="none" w:pos="709" w:val="left"/>
          <w:tab w:leader="none" w:pos="5670" w:val="left"/>
        </w:tabs>
        <w:spacing w:after="0" w:before="0" w:line="100" w:lineRule="atLeast"/>
        <w:ind w:firstLine="5670" w:left="0" w:right="0"/>
        <w:jc w:val="both"/>
      </w:pPr>
      <w:r>
        <w:rPr>
          <w:sz w:val="28"/>
          <w:szCs w:val="28"/>
        </w:rPr>
        <w:t xml:space="preserve">                                                        </w:t>
      </w:r>
    </w:p>
    <w:tbl>
      <w:tblPr>
        <w:jc w:val="left"/>
        <w:tblBorders/>
        <w:tblInd w:type="dxa" w:w="-108"/>
      </w:tblPr>
      <w:tblGrid>
        <w:gridCol w:w="9315"/>
      </w:tblGrid>
      <w:tr>
        <w:trPr>
          <w:trHeight w:hRule="atLeast" w:val="1815"/>
          <w:cantSplit w:val="false"/>
        </w:trPr>
        <w:tc>
          <w:tcPr>
            <w:tcW w:type="dxa" w:w="931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7"/>
              <w:tabs>
                <w:tab w:leader="none" w:pos="0" w:val="left"/>
                <w:tab w:leader="none" w:pos="540" w:val="left"/>
                <w:tab w:leader="none" w:pos="708" w:val="left"/>
                <w:tab w:leader="none" w:pos="2043" w:val="left"/>
              </w:tabs>
              <w:spacing w:after="0" w:before="0" w:line="100" w:lineRule="atLeast"/>
              <w:ind w:hanging="0" w:left="0" w:right="0"/>
              <w:jc w:val="both"/>
            </w:pPr>
            <w:r>
              <w:rPr/>
            </w:r>
          </w:p>
        </w:tc>
      </w:tr>
      <w:tr>
        <w:trPr>
          <w:trHeight w:hRule="atLeast" w:val="1815"/>
          <w:cantSplit w:val="false"/>
        </w:trPr>
        <w:tc>
          <w:tcPr>
            <w:tcW w:type="dxa" w:w="931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7"/>
              <w:tabs>
                <w:tab w:leader="none" w:pos="540" w:val="left"/>
                <w:tab w:leader="none" w:pos="708" w:val="left"/>
                <w:tab w:leader="none" w:pos="1755" w:val="left"/>
              </w:tabs>
              <w:spacing w:after="0" w:before="0" w:line="100" w:lineRule="atLeast"/>
              <w:ind w:hanging="0" w:left="0" w:right="-5703"/>
              <w:jc w:val="both"/>
            </w:pPr>
            <w:r>
              <w:rPr/>
              <w:t xml:space="preserve">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Приложение                                                                           </w:t>
            </w:r>
          </w:p>
          <w:p>
            <w:pPr>
              <w:pStyle w:val="style37"/>
              <w:tabs>
                <w:tab w:leader="none" w:pos="0" w:val="left"/>
                <w:tab w:leader="none" w:pos="540" w:val="left"/>
                <w:tab w:leader="none" w:pos="708" w:val="left"/>
                <w:tab w:leader="none" w:pos="2043" w:val="left"/>
              </w:tabs>
              <w:spacing w:after="0" w:before="0" w:line="100" w:lineRule="atLeast"/>
              <w:ind w:firstLine="5529" w:left="0" w:right="0"/>
              <w:jc w:val="both"/>
            </w:pPr>
            <w:r>
              <w:rPr/>
              <w:t>УТВЕРЖДЕНА</w:t>
            </w:r>
          </w:p>
          <w:p>
            <w:pPr>
              <w:pStyle w:val="style37"/>
              <w:tabs>
                <w:tab w:leader="none" w:pos="0" w:val="left"/>
                <w:tab w:leader="none" w:pos="540" w:val="left"/>
                <w:tab w:leader="none" w:pos="708" w:val="left"/>
                <w:tab w:leader="none" w:pos="2043" w:val="left"/>
              </w:tabs>
              <w:spacing w:after="0" w:before="0" w:line="100" w:lineRule="atLeast"/>
              <w:ind w:firstLine="5529" w:left="0" w:right="0"/>
              <w:jc w:val="both"/>
            </w:pPr>
            <w:r>
              <w:rPr/>
              <w:t>постановление администрации</w:t>
            </w:r>
          </w:p>
          <w:p>
            <w:pPr>
              <w:pStyle w:val="style37"/>
              <w:tabs>
                <w:tab w:leader="none" w:pos="0" w:val="left"/>
                <w:tab w:leader="none" w:pos="540" w:val="left"/>
                <w:tab w:leader="none" w:pos="708" w:val="left"/>
                <w:tab w:leader="none" w:pos="2043" w:val="left"/>
              </w:tabs>
              <w:spacing w:after="0" w:before="0" w:line="100" w:lineRule="atLeast"/>
              <w:ind w:firstLine="5529" w:left="0" w:right="0"/>
              <w:jc w:val="both"/>
            </w:pPr>
            <w:r>
              <w:rPr/>
              <w:t>Большекитякского сельского</w:t>
            </w:r>
          </w:p>
          <w:p>
            <w:pPr>
              <w:pStyle w:val="style37"/>
              <w:tabs>
                <w:tab w:leader="none" w:pos="540" w:val="left"/>
                <w:tab w:leader="none" w:pos="708" w:val="left"/>
                <w:tab w:leader="none" w:pos="1755" w:val="left"/>
              </w:tabs>
              <w:spacing w:after="0" w:before="0" w:line="100" w:lineRule="atLeast"/>
              <w:ind w:hanging="0" w:left="0" w:right="-5703"/>
              <w:jc w:val="both"/>
            </w:pPr>
            <w:r>
              <w:rPr/>
              <w:t xml:space="preserve">                                                                                              </w:t>
            </w:r>
            <w:r>
              <w:rPr/>
              <w:t>от ___________________№ _</w:t>
            </w:r>
          </w:p>
        </w:tc>
      </w:tr>
    </w:tbl>
    <w:p>
      <w:pPr>
        <w:pStyle w:val="style37"/>
        <w:tabs>
          <w:tab w:leader="none" w:pos="0" w:val="left"/>
          <w:tab w:leader="none" w:pos="540" w:val="left"/>
          <w:tab w:leader="none" w:pos="708" w:val="left"/>
          <w:tab w:leader="none" w:pos="2043" w:val="left"/>
        </w:tabs>
        <w:spacing w:after="0" w:before="0" w:line="100" w:lineRule="atLeast"/>
        <w:ind w:hanging="0" w:left="0" w:right="0"/>
        <w:jc w:val="center"/>
      </w:pPr>
      <w:r>
        <w:rPr>
          <w:b/>
          <w:sz w:val="28"/>
          <w:szCs w:val="28"/>
        </w:rPr>
        <w:t>МЕТОДИКА</w:t>
      </w:r>
    </w:p>
    <w:p>
      <w:pPr>
        <w:pStyle w:val="style37"/>
        <w:tabs>
          <w:tab w:leader="none" w:pos="0" w:val="left"/>
          <w:tab w:leader="none" w:pos="540" w:val="left"/>
          <w:tab w:leader="none" w:pos="708" w:val="left"/>
          <w:tab w:leader="none" w:pos="2043" w:val="left"/>
        </w:tabs>
        <w:spacing w:after="0" w:before="0" w:line="100" w:lineRule="atLeast"/>
        <w:ind w:hanging="0" w:left="0" w:right="0"/>
        <w:jc w:val="center"/>
      </w:pPr>
      <w:r>
        <w:rPr>
          <w:b/>
          <w:sz w:val="28"/>
          <w:szCs w:val="28"/>
        </w:rPr>
        <w:t xml:space="preserve">формирования налоговых и неналоговых доходов бюджета муниципального образования Большекитякское сельское поселение </w:t>
      </w:r>
    </w:p>
    <w:p>
      <w:pPr>
        <w:pStyle w:val="style37"/>
        <w:tabs>
          <w:tab w:leader="none" w:pos="0" w:val="left"/>
          <w:tab w:leader="none" w:pos="540" w:val="left"/>
          <w:tab w:leader="none" w:pos="708" w:val="left"/>
          <w:tab w:leader="none" w:pos="2043" w:val="left"/>
        </w:tabs>
        <w:spacing w:after="0" w:before="0" w:line="100" w:lineRule="atLeast"/>
        <w:ind w:hanging="0" w:left="0" w:right="0"/>
        <w:jc w:val="center"/>
      </w:pPr>
      <w:r>
        <w:rPr/>
      </w:r>
    </w:p>
    <w:p>
      <w:pPr>
        <w:pStyle w:val="style32"/>
        <w:ind w:firstLine="709" w:left="0" w:right="0"/>
      </w:pPr>
      <w:r>
        <w:rPr>
          <w:b/>
          <w:sz w:val="28"/>
          <w:szCs w:val="28"/>
        </w:rPr>
        <w:t>1. Общие положения</w:t>
      </w:r>
    </w:p>
    <w:p>
      <w:pPr>
        <w:pStyle w:val="style39"/>
        <w:spacing w:after="0" w:before="360"/>
        <w:ind w:firstLine="709" w:left="0" w:right="0"/>
        <w:jc w:val="both"/>
      </w:pPr>
      <w:r>
        <w:rPr>
          <w:b w:val="false"/>
          <w:sz w:val="28"/>
          <w:szCs w:val="28"/>
        </w:rPr>
        <w:t xml:space="preserve">1.1. Методика формирования налоговых и неналоговых доходов бюджета муниципального образования  </w:t>
      </w:r>
      <w:bookmarkStart w:id="0" w:name="__DdeLink__2729_646990012"/>
      <w:r>
        <w:rPr>
          <w:b w:val="false"/>
          <w:sz w:val="28"/>
          <w:szCs w:val="28"/>
        </w:rPr>
        <w:t>Большекитякское</w:t>
      </w:r>
      <w:bookmarkEnd w:id="0"/>
      <w:r>
        <w:rPr>
          <w:b w:val="false"/>
          <w:sz w:val="28"/>
          <w:szCs w:val="28"/>
        </w:rPr>
        <w:t xml:space="preserve"> сельское поселение Малмыжского района (далее – Методика) разработана в целях обеспечения формализованного подхода к прогнозированию доходов бюджета муниципального образования Большекитякское сельское поселение   на очередной финансовый год и на плановый период.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1.2. Прогнозирование налоговых и неналоговых доходов бюджета поселения на очередной финансовый год и на плановый период осуществляется на основе прогноза социально - экономического развития  муниципального образования Большекитякское сельское поселение  в условиях действующего бюджетного законодательства Российской Федерации, Кировской области и нормативных правовых актов администрации Большекитякского сельского поселния, законодательства о налогах и сборах Российской Федерации, Кировской области и нормативных правовых актов администрации Большекитякского сельского поселения , а также законодательства Российской Федерации и Кировской области, устанавливающего неналоговые доходы бюджетов бюджетной системы Российской Федерации с учетом: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размеров ставок налогов и сборов, установленных законодательством Российской Федерации и Кировской области;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нормативов отчислений по налоговым и неналоговым доходам в бюджет нормативных правовых актов  администрации Большекитякского сельского поселения в соответствии с законодательством Российской Федерации и Кировской области;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проектов федеральных законов и проектов законов Кировской области, предусматривающих внесение изменений в бюджетное законодательство, законодательство о налогах и сборах и законодательство, устанавливающее неналоговые доходы, приводящих к изменению доходов бюджета муниципального образования;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 xml:space="preserve">показателей налоговой отчетности о налоговой базе и структуре начислений налоговых доходов за отчетный финансовый год; 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объема налоговых льгот, установленных в текущем финансовом году, планируемых к установлению (отмене), начиная с очередного финансового года в соответствии с законодательством Российской Федерации, Кировской области и нормативных правовых актов  администрации Большекитякского сельского поселения ;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объема ожидаемых поступлений по налоговым и неналоговым платежам в текущем финансовом году;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сумм исчисляемых налоговых и неналоговых платежей по организациям, находящимся в стадии банкротства и (или) ликвидации;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прогнозируемых поступлений налоговых и неналоговых доходов в виде неисполненных обязательств (недоимки) плательщиков на основании данных главных администраторов доходов бюджета муниципального образования;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иных показателей, применяемых при составлении прогноза налоговых и неналоговых доходов бюджета муниципального образования Большекитякское сельское поселение на очередной финансовый год.</w:t>
      </w:r>
    </w:p>
    <w:p>
      <w:pPr>
        <w:pStyle w:val="style39"/>
        <w:spacing w:after="360" w:before="360"/>
        <w:ind w:firstLine="709" w:left="0" w:right="0"/>
        <w:jc w:val="left"/>
      </w:pPr>
      <w:r>
        <w:rPr>
          <w:sz w:val="28"/>
          <w:szCs w:val="28"/>
        </w:rPr>
        <w:t>2. Налоговые доходы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2.1. Расчет прогноза поступления налоговых доходов в бюджет поселения   на очередной финансовый год производится на основе показателей налогооблагаемой базы за отчетный финансовый год (или ожидаемой оценки поступлений на текущий финансовый год) с применением коэффициентов роста (снижения) поступлений налоговых доходов на очередной финансовый год, а также индексов - дефляторов цен и других факторов, влияющих на поступление налоговых доходов.</w:t>
      </w:r>
    </w:p>
    <w:p>
      <w:pPr>
        <w:pStyle w:val="style0"/>
        <w:ind w:firstLine="709" w:left="0" w:right="0"/>
        <w:jc w:val="both"/>
      </w:pPr>
      <w:r>
        <w:rPr>
          <w:sz w:val="28"/>
          <w:szCs w:val="28"/>
        </w:rPr>
        <w:t>2.2. Расчет прогноза поступления налоговых доходов в бюджет поселения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составляется по следующим видам налогов:</w:t>
      </w:r>
    </w:p>
    <w:p>
      <w:pPr>
        <w:pStyle w:val="style0"/>
        <w:ind w:firstLine="709" w:left="0" w:right="0"/>
        <w:jc w:val="both"/>
      </w:pPr>
      <w:r>
        <w:rPr>
          <w:sz w:val="28"/>
          <w:szCs w:val="28"/>
        </w:rPr>
        <w:t>2.2.1. По налогу на доходы физических лиц: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2.2.1.1. 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части второй Налогового кодекса Российской Федерации (далее – налог на доходы физических лиц) в бюджет   муниципального образования  Большекитякское сельское поселение.</w:t>
      </w:r>
    </w:p>
    <w:p>
      <w:pPr>
        <w:pStyle w:val="style39"/>
        <w:ind w:firstLine="720" w:left="0" w:right="0"/>
        <w:jc w:val="both"/>
      </w:pPr>
      <w:r>
        <w:rPr>
          <w:b w:val="false"/>
          <w:sz w:val="28"/>
          <w:szCs w:val="28"/>
        </w:rPr>
        <w:t>Расчет прогноза поступления доходов от налога на доходы физических лиц в бюджет муниципального образования   производится по следующей формуле:</w:t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sz w:val="28"/>
          <w:szCs w:val="28"/>
        </w:rPr>
        <w:t>НДФЛоч = (ФОТоч × ЭС × Кнз + Нвз) × Нндфл, где:</w:t>
      </w:r>
    </w:p>
    <w:p>
      <w:pPr>
        <w:pStyle w:val="style0"/>
        <w:jc w:val="center"/>
      </w:pPr>
      <w:r>
        <w:rPr/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НДФЛоч – прогноз поступления доходов от налога на доходы физических лиц  в бюджет  муниципального образования ;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ФОТоч – прогноз фонда оплаты труда по муниципальному образованию, по данным департамента экономического развития по Кировской области, на очередной финансовый год;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ЭС – расчетная эффективная ставка налога на доходы физических лиц,  учитывающая стандартные, социальные, имущественные, профессиональные вычеты и льготы, предусмотренные главой 23 части второй Налогового кодекса Российской Федерации, которая рассчитывается по следующей формуле: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jc w:val="center"/>
      </w:pPr>
      <w:r>
        <w:rPr>
          <w:sz w:val="28"/>
          <w:szCs w:val="28"/>
        </w:rPr>
        <w:t>ЭС = (НДФЛотч – НДФЛд – ЕПотч)/ФОТотч, где: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НДФЛотч – поступление налога на доходы физических лиц, за исключением  доходов физических лиц в соответствии со статьями 227, 227.1 и 228 части второй Налогового кодекса Российской Федерации, в консолидированный бюджет области за отчетный финансовый год,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 xml:space="preserve">НДФЛд – поступление налога на доходы физических лиц,  полученные в виде дивидендов от долевого участия в деятельности организаций, в консолидированный бюджет области за отчетный финансовый год,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агентами», 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ЕПотч – поступления налога на доходы физических лиц в консолидированный бюджет области , носящие единовременный характер, за отчетный финансовый год,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 xml:space="preserve">ФОТотч  – фонд оплаты труда по муниципальному образованию, по данным департамента экономического развития по Кировской области, за отчетный финансовый год; </w:t>
      </w:r>
    </w:p>
    <w:p>
      <w:pPr>
        <w:pStyle w:val="style40"/>
        <w:widowControl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Кнз – поправочный коэффициент, учитывающий изменения налогового законодательства по налогу на доходы физических лиц, рассчитываемый</w:t>
      </w:r>
      <w:r>
        <w:rPr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департаментом финансов по Кировской области;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Нвз – прогнозируемые поступления в виде неисполненных обязательств (недоимки) налогоплательщиков (налоговых агентов) по налогу на доходы физических лиц в консолидированный бюджет области;</w:t>
      </w:r>
    </w:p>
    <w:p>
      <w:pPr>
        <w:pStyle w:val="style38"/>
        <w:widowControl/>
        <w:jc w:val="both"/>
      </w:pPr>
      <w:r>
        <w:rPr>
          <w:rFonts w:ascii="Times New Roman" w:cs="Times New Roman" w:hAnsi="Times New Roman"/>
          <w:sz w:val="28"/>
          <w:szCs w:val="28"/>
        </w:rPr>
        <w:t>Нндфл – норматив отчислений доходов от налога на доходы физических лиц в бюджет муниципального образования.</w:t>
      </w:r>
    </w:p>
    <w:p>
      <w:pPr>
        <w:pStyle w:val="style39"/>
        <w:spacing w:line="360" w:lineRule="auto"/>
        <w:ind w:firstLine="709" w:left="0" w:right="0"/>
        <w:jc w:val="both"/>
      </w:pPr>
      <w:r>
        <w:rPr>
          <w:b w:val="false"/>
          <w:sz w:val="28"/>
          <w:szCs w:val="28"/>
        </w:rPr>
        <w:t>2.2.1.2.</w:t>
      </w:r>
      <w:r>
        <w:rPr>
          <w:sz w:val="28"/>
          <w:szCs w:val="28"/>
        </w:rPr>
        <w:t xml:space="preserve"> </w:t>
      </w:r>
      <w:r>
        <w:rPr>
          <w:b w:val="false"/>
          <w:sz w:val="28"/>
          <w:szCs w:val="28"/>
        </w:rPr>
        <w:t xml:space="preserve">По налогу на доходы физических лиц, взимаемому с доходов физических лиц в соответствии со статьей 226.1 части второй Налогового кодекса Российской Федерации (далее – налог на доходы физических лиц, полученные в виде дивидендов от долевого участия в деятельности организаций). </w:t>
      </w:r>
    </w:p>
    <w:p>
      <w:pPr>
        <w:pStyle w:val="style39"/>
        <w:spacing w:line="360" w:lineRule="auto"/>
        <w:ind w:firstLine="709" w:left="0" w:right="0"/>
        <w:jc w:val="both"/>
      </w:pPr>
      <w:r>
        <w:rPr>
          <w:b w:val="false"/>
          <w:sz w:val="28"/>
          <w:szCs w:val="28"/>
        </w:rPr>
        <w:t>Расчет прогноза поступления доходов от налога на доходы физических лиц, полученные в виде дивидендов от долевого участия в деятельности организаций, в бюджет муниципального образования производится по следующей формуле:</w:t>
      </w:r>
    </w:p>
    <w:p>
      <w:pPr>
        <w:pStyle w:val="style39"/>
        <w:spacing w:line="360" w:lineRule="auto"/>
        <w:jc w:val="both"/>
      </w:pPr>
      <w:r>
        <w:rPr>
          <w:b w:val="false"/>
          <w:sz w:val="28"/>
          <w:szCs w:val="28"/>
        </w:rPr>
        <w:t>НДФЛ</w:t>
      </w:r>
      <w:r>
        <w:rPr>
          <w:b w:val="false"/>
          <w:sz w:val="28"/>
          <w:szCs w:val="28"/>
          <w:vertAlign w:val="subscript"/>
        </w:rPr>
        <w:t>Д</w:t>
      </w:r>
      <w:r>
        <w:rPr>
          <w:b w:val="false"/>
          <w:sz w:val="28"/>
          <w:szCs w:val="28"/>
        </w:rPr>
        <w:t>=НДФЛ</w:t>
      </w:r>
      <w:r>
        <w:rPr>
          <w:b w:val="false"/>
          <w:sz w:val="28"/>
          <w:szCs w:val="28"/>
          <w:vertAlign w:val="subscript"/>
        </w:rPr>
        <w:t>Дотч</w:t>
      </w:r>
      <w:r>
        <w:rPr>
          <w:b w:val="false"/>
          <w:sz w:val="28"/>
          <w:szCs w:val="28"/>
        </w:rPr>
        <w:t>×Крп×Нндфл</w:t>
      </w:r>
      <w:r>
        <w:rPr>
          <w:b w:val="false"/>
          <w:sz w:val="28"/>
          <w:szCs w:val="28"/>
          <w:vertAlign w:val="subscript"/>
        </w:rPr>
        <w:t>Д</w:t>
      </w:r>
      <w:r>
        <w:rPr>
          <w:b w:val="false"/>
          <w:sz w:val="28"/>
          <w:szCs w:val="28"/>
        </w:rPr>
        <w:t>, где:</w:t>
      </w:r>
    </w:p>
    <w:p>
      <w:pPr>
        <w:pStyle w:val="style39"/>
        <w:spacing w:line="360" w:lineRule="auto"/>
        <w:ind w:firstLine="709" w:left="0" w:right="0"/>
        <w:jc w:val="both"/>
      </w:pPr>
      <w:r>
        <w:rPr>
          <w:b w:val="false"/>
          <w:sz w:val="28"/>
          <w:szCs w:val="28"/>
        </w:rPr>
        <w:t>НДФЛ</w:t>
      </w:r>
      <w:r>
        <w:rPr>
          <w:b w:val="false"/>
          <w:sz w:val="28"/>
          <w:szCs w:val="28"/>
          <w:vertAlign w:val="subscript"/>
        </w:rPr>
        <w:t>Д</w:t>
      </w:r>
      <w:r>
        <w:rPr>
          <w:b w:val="false"/>
          <w:sz w:val="28"/>
          <w:szCs w:val="28"/>
        </w:rPr>
        <w:t xml:space="preserve"> – прогноз поступления доходов от налога на доходы физических лиц, полученные в виде дивидендов от долевого участия в деятельности организаций, в бюджет муниципального образования;</w:t>
      </w:r>
    </w:p>
    <w:p>
      <w:pPr>
        <w:pStyle w:val="style39"/>
        <w:spacing w:line="360" w:lineRule="auto"/>
        <w:ind w:firstLine="709" w:left="0" w:right="0"/>
        <w:jc w:val="both"/>
      </w:pPr>
      <w:r>
        <w:rPr>
          <w:b w:val="false"/>
          <w:sz w:val="28"/>
          <w:szCs w:val="28"/>
        </w:rPr>
        <w:t>НДФЛ</w:t>
      </w:r>
      <w:r>
        <w:rPr>
          <w:b w:val="false"/>
          <w:sz w:val="28"/>
          <w:szCs w:val="28"/>
          <w:vertAlign w:val="subscript"/>
        </w:rPr>
        <w:t>Дотч</w:t>
      </w:r>
      <w:r>
        <w:rPr>
          <w:b w:val="false"/>
          <w:sz w:val="28"/>
          <w:szCs w:val="28"/>
        </w:rPr>
        <w:t xml:space="preserve"> – поступление налога на доходы физических лиц, полученные в виде дивидендов от долевого участия в деятельности организаций, в консолидированный бюджет муниципального образования  за отчетный финансовый год,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агентами»;</w:t>
      </w:r>
    </w:p>
    <w:p>
      <w:pPr>
        <w:pStyle w:val="style39"/>
        <w:spacing w:line="360" w:lineRule="auto"/>
        <w:ind w:firstLine="709" w:left="0" w:right="0"/>
        <w:jc w:val="both"/>
      </w:pPr>
      <w:r>
        <w:rPr>
          <w:b w:val="false"/>
          <w:sz w:val="28"/>
          <w:szCs w:val="28"/>
        </w:rPr>
        <w:t>Крп -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>
        <w:rPr>
          <w:rStyle w:val="style27"/>
        </w:rPr>
        <w:footnoteReference w:id="2"/>
      </w:r>
      <w:r>
        <w:rPr>
          <w:b w:val="false"/>
          <w:sz w:val="28"/>
          <w:szCs w:val="28"/>
        </w:rPr>
        <w:t>, рассчитываемый министерством финансов Кировской области на основании данных министерства экономического развития Кировской области;</w:t>
      </w:r>
    </w:p>
    <w:p>
      <w:pPr>
        <w:pStyle w:val="style38"/>
        <w:widowControl/>
        <w:spacing w:line="360" w:lineRule="auto"/>
        <w:ind w:firstLine="709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Нндфл</w:t>
      </w:r>
      <w:r>
        <w:rPr>
          <w:rFonts w:ascii="Times New Roman" w:cs="Times New Roman" w:hAnsi="Times New Roman"/>
          <w:sz w:val="28"/>
          <w:szCs w:val="28"/>
          <w:vertAlign w:val="subscript"/>
        </w:rPr>
        <w:t>Д</w:t>
      </w:r>
      <w:r>
        <w:rPr>
          <w:rFonts w:ascii="Times New Roman" w:cs="Times New Roman" w:hAnsi="Times New Roman"/>
          <w:sz w:val="28"/>
          <w:szCs w:val="28"/>
        </w:rPr>
        <w:t xml:space="preserve"> – норматив отчислений доходов от налога на доходы физических лиц, полученные в виде дивидендов от долевого участия в деятельности организаций, в  бюджет муниципального образования».</w:t>
      </w:r>
    </w:p>
    <w:p>
      <w:pPr>
        <w:pStyle w:val="style38"/>
        <w:widowControl/>
        <w:spacing w:line="360" w:lineRule="auto"/>
        <w:ind w:firstLine="709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2.2.1.3. По налогу на доходы физических лиц, взимаемому с доходов физических лиц в соответствии со статьями 227 и 228 части второй Налогового кодекса Российской Федерации (далее – налог на доходы физических лиц, взимаемый с прочих доходов).</w:t>
      </w:r>
    </w:p>
    <w:p>
      <w:pPr>
        <w:pStyle w:val="style38"/>
        <w:widowControl/>
        <w:spacing w:line="360" w:lineRule="auto"/>
        <w:ind w:firstLine="709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Расчет прогноза поступления налога на доходы физических лиц, взимаемый с прочих доходов, в бюджет муниципального образования производится финансовым управлением администрации Малмыжского района по следующей формуле:</w:t>
      </w:r>
    </w:p>
    <w:p>
      <w:pPr>
        <w:pStyle w:val="style40"/>
        <w:widowControl/>
        <w:ind w:firstLine="720" w:left="0" w:right="0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>n</w:t>
      </w:r>
    </w:p>
    <w:p>
      <w:pPr>
        <w:pStyle w:val="style40"/>
        <w:widowControl/>
        <w:ind w:firstLine="720" w:left="0" w:right="0"/>
        <w:jc w:val="center"/>
      </w:pPr>
      <w:r>
        <w:rPr>
          <w:rFonts w:ascii="Times New Roman" w:cs="Times New Roman" w:hAnsi="Times New Roman"/>
          <w:sz w:val="28"/>
          <w:szCs w:val="28"/>
        </w:rPr>
        <w:t>НДФЛпроч = SUM ((НДФЛотч</w:t>
      </w:r>
      <w:r>
        <w:rPr>
          <w:rFonts w:ascii="Times New Roman" w:cs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cs="Times New Roman" w:hAnsi="Times New Roman"/>
          <w:sz w:val="28"/>
          <w:szCs w:val="28"/>
        </w:rPr>
        <w:t xml:space="preserve"> × Кр</w:t>
      </w:r>
      <w:r>
        <w:rPr>
          <w:rFonts w:ascii="Times New Roman" w:cs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cs="Times New Roman" w:hAnsi="Times New Roman"/>
          <w:sz w:val="28"/>
          <w:szCs w:val="28"/>
        </w:rPr>
        <w:t xml:space="preserve"> + Нвз</w:t>
      </w:r>
      <w:r>
        <w:rPr>
          <w:rFonts w:ascii="Times New Roman" w:cs="Times New Roman" w:hAnsi="Times New Roman"/>
          <w:sz w:val="40"/>
          <w:szCs w:val="40"/>
          <w:vertAlign w:val="subscript"/>
          <w:lang w:val="en-US"/>
        </w:rPr>
        <w:t>i</w:t>
      </w:r>
      <w:r>
        <w:rPr>
          <w:rFonts w:ascii="Times New Roman" w:cs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) × Нпроч</w:t>
      </w:r>
      <w:r>
        <w:rPr>
          <w:rFonts w:ascii="Times New Roman" w:cs="Times New Roman" w:hAnsi="Times New Roman"/>
          <w:sz w:val="40"/>
          <w:szCs w:val="40"/>
          <w:vertAlign w:val="subscript"/>
          <w:lang w:val="en-US"/>
        </w:rPr>
        <w:t>i</w:t>
      </w:r>
      <w:r>
        <w:rPr>
          <w:rFonts w:ascii="Times New Roman" w:cs="Times New Roman" w:hAnsi="Times New Roman"/>
          <w:sz w:val="28"/>
          <w:szCs w:val="28"/>
        </w:rPr>
        <w:t>), где:</w:t>
      </w:r>
    </w:p>
    <w:p>
      <w:pPr>
        <w:pStyle w:val="style40"/>
        <w:widowControl/>
        <w:spacing w:after="360" w:before="0"/>
        <w:ind w:firstLine="720" w:left="0" w:right="0"/>
      </w:pPr>
      <w:r>
        <w:rPr>
          <w:rFonts w:ascii="Times New Roman" w:cs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cs="Times New Roman" w:hAnsi="Times New Roman"/>
          <w:sz w:val="28"/>
          <w:szCs w:val="28"/>
        </w:rPr>
        <w:t>i=1</w:t>
      </w:r>
    </w:p>
    <w:p>
      <w:pPr>
        <w:pStyle w:val="style38"/>
        <w:widowControl/>
        <w:spacing w:line="360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НДФЛпроч – прогноз поступления доходов от налога на доходы физических лиц, взимаемого с прочих доходов, в  бюджет муниципального оброзования;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НДФЛотч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фактическое поступление налога на доходы физических лиц, взимаемого с прочих доходов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–го вида, в  бюджет муниципального образования за отчетный финансовый год;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Кр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коэффициент роста (снижения) поступлений налога на доходы физических лиц, взимаемого с прочих доходов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-го вида, в зависимости от вида облагаемых доходов физических лиц (по доходам физических лиц в соответствии со статьей 227 части второй Налогового кодекса Российской Федерации применяется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>
        <w:rPr>
          <w:rStyle w:val="style27"/>
        </w:rPr>
        <w:footnoteReference w:customMarkFollows="1" w:id="3"/>
        <w:t>1</w:t>
      </w:r>
      <w:r>
        <w:rPr>
          <w:sz w:val="28"/>
          <w:szCs w:val="28"/>
        </w:rPr>
        <w:t>, рассчитываемый министерством финансов Кировской области на основании данных министерства экономического развития Кировской области; по доходам физических лиц в соответствии со статьей 228 части второй Налогового кодекса Российской Федерации применяется коэффициент роста (снижения) поступлений налога, рассчитываемый министерством финансов Кировской области на основании отчетных данных о поступлении налога за отчетный год к году, предшествующему отчетному);</w:t>
      </w:r>
    </w:p>
    <w:p>
      <w:pPr>
        <w:pStyle w:val="style38"/>
        <w:widowControl/>
        <w:spacing w:line="360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Нвз</w:t>
      </w:r>
      <w:r>
        <w:rPr>
          <w:rFonts w:ascii="Times New Roman" w:cs="Times New Roman" w:hAnsi="Times New Roman"/>
          <w:sz w:val="28"/>
          <w:szCs w:val="28"/>
          <w:vertAlign w:val="subscript"/>
        </w:rPr>
        <w:t>i</w:t>
      </w:r>
      <w:r>
        <w:rPr>
          <w:rFonts w:ascii="Times New Roman" w:cs="Times New Roman" w:hAnsi="Times New Roman"/>
          <w:sz w:val="28"/>
          <w:szCs w:val="28"/>
        </w:rPr>
        <w:t xml:space="preserve"> – прогнозируемые поступления в виде неисполненных обязательств (недоимки) налогоплательщиков в  бюджет  муниципального образования по налогу на доходы физических лиц с доходов </w:t>
      </w:r>
      <w:r>
        <w:rPr>
          <w:rFonts w:ascii="Times New Roman" w:cs="Times New Roman" w:hAnsi="Times New Roman"/>
          <w:sz w:val="28"/>
          <w:szCs w:val="28"/>
          <w:lang w:val="en-US"/>
        </w:rPr>
        <w:t>i</w:t>
      </w:r>
      <w:r>
        <w:rPr>
          <w:rFonts w:ascii="Times New Roman" w:cs="Times New Roman" w:hAnsi="Times New Roman"/>
          <w:sz w:val="28"/>
          <w:szCs w:val="28"/>
        </w:rPr>
        <w:t xml:space="preserve">–го вида; </w:t>
      </w:r>
    </w:p>
    <w:p>
      <w:pPr>
        <w:pStyle w:val="style38"/>
        <w:widowControl/>
        <w:spacing w:line="360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Ннд</w:t>
      </w:r>
      <w:r>
        <w:rPr>
          <w:rFonts w:ascii="Times New Roman" w:cs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cs="Times New Roman" w:hAnsi="Times New Roman"/>
          <w:sz w:val="28"/>
          <w:szCs w:val="28"/>
        </w:rPr>
        <w:t>– норматив отчислений доходов от налога на доходы физических лиц, взимаемого с прочих доходов, в бюджет муниципального образования;</w:t>
      </w:r>
    </w:p>
    <w:p>
      <w:pPr>
        <w:pStyle w:val="style38"/>
        <w:widowControl/>
        <w:spacing w:line="360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i – вид прочих доходов физических лиц;</w:t>
      </w:r>
    </w:p>
    <w:p>
      <w:pPr>
        <w:pStyle w:val="style38"/>
        <w:widowControl/>
        <w:spacing w:line="360" w:lineRule="auto"/>
        <w:ind w:firstLine="709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n – количество видов прочих доходов физических лиц i- го вида.</w:t>
      </w:r>
    </w:p>
    <w:p>
      <w:pPr>
        <w:pStyle w:val="style0"/>
        <w:ind w:firstLine="709" w:left="0" w:right="0"/>
        <w:jc w:val="both"/>
      </w:pPr>
      <w:r>
        <w:rPr/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b/>
          <w:sz w:val="28"/>
          <w:szCs w:val="28"/>
        </w:rPr>
        <w:t>2.2.2. По единому сельскохозяйственному налогу</w:t>
      </w:r>
      <w:r>
        <w:rPr>
          <w:sz w:val="28"/>
          <w:szCs w:val="28"/>
        </w:rPr>
        <w:t>.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Расчет прогноза поступления доходов от единого сельскохозяйственного налога производится по следующей формуле:</w:t>
      </w:r>
    </w:p>
    <w:p>
      <w:pPr>
        <w:pStyle w:val="style0"/>
        <w:ind w:firstLine="709" w:left="0" w:right="0"/>
        <w:jc w:val="both"/>
      </w:pPr>
      <w:r>
        <w:rPr/>
      </w:r>
    </w:p>
    <w:p>
      <w:pPr>
        <w:pStyle w:val="style0"/>
        <w:jc w:val="center"/>
      </w:pPr>
      <w:r>
        <w:rPr>
          <w:sz w:val="28"/>
          <w:szCs w:val="28"/>
        </w:rPr>
        <w:t>Несхн = (НБесхн × Кпсх +/– дельтаП+ Нвз) × Нсх, где:</w:t>
      </w:r>
    </w:p>
    <w:p>
      <w:pPr>
        <w:pStyle w:val="style0"/>
        <w:ind w:firstLine="709" w:left="0" w:right="0"/>
        <w:jc w:val="both"/>
      </w:pPr>
      <w:r>
        <w:rPr/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Несхн – прогноз поступления доходов от единого сельскохозяйственного налога в бюджет муниципального образования 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НБесхн – сумма исчисленного единого сельскохозяйственного налога в бюджет за  отчетный финансовый год,   по данным  налоговой отчетности         № 5–ЕСХН «Отчет о налоговой базе и структуре начислений по единому сельскохозяйственному налогу»;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Кпсх – коэффициент роста (снижения) прибыли прибыльных предприятий сельского хозяйства на очередной финансовый год к уровню отчетного финансового года, рассчитываемый министерством финансов Кировской области, исходя из показателя прибыли прибыльных предприятий сельского хозяйства на текущий финансовый год и на очередной финансовый год по данным министерства экономического развития Кировской области;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дельтаП – прогнозируемая сумма дополнительных поступлений (снижения) единого сельскохозяйственного налога в связи с изменением количества налогоплательщиков, применяющих систему налогообложения в виде единого сельскохозяйственного налога;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Нвз – прогнозируемые поступления по единому сельскохозяйствен-ному налогу в виде неисполненных обязательств (недоимки) налогоплательщиков в бюджет муниципального образования 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Нсх – норматив отчислений доходов от единого сельскохозяйственного налога в бюджет  муниципального образования.</w:t>
      </w:r>
    </w:p>
    <w:p>
      <w:pPr>
        <w:pStyle w:val="style0"/>
        <w:spacing w:line="360" w:lineRule="auto"/>
        <w:ind w:firstLine="709" w:left="0" w:right="0"/>
        <w:jc w:val="both"/>
      </w:pPr>
      <w:r>
        <w:rPr/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b/>
          <w:sz w:val="28"/>
          <w:szCs w:val="28"/>
        </w:rPr>
        <w:t xml:space="preserve">2.2.3. По налогу на имущество физических лиц. 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Расчет прогноза поступления налога на имущество физических лиц   в бюджет муниципального образования  производится по следующей формуле:</w:t>
      </w:r>
    </w:p>
    <w:p>
      <w:pPr>
        <w:pStyle w:val="style0"/>
        <w:spacing w:line="360" w:lineRule="auto"/>
        <w:ind w:firstLine="709" w:left="0" w:right="0"/>
        <w:jc w:val="center"/>
      </w:pPr>
      <w:r>
        <w:rPr>
          <w:sz w:val="28"/>
          <w:szCs w:val="28"/>
        </w:rPr>
        <w:t>Нимфл = (Нупл × Кр  × Кс +/- Лизм + Нвз) × Нимфлиц, где: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Нимфл – прогноз поступления налога на имущество физических лиц в бюджет  муниципального образования;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 xml:space="preserve">Нупл – сумма налога на имущество физических лиц, подлежащая  уплате в бюджет за отчетный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 начислений по налогу на имущество физических лиц»); 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 xml:space="preserve">Кр – коэффициент роста общей инвентаризационной стоимости строений, помещений и сооружений, находящихся в собственности физических лиц, в очередном финансовом году к уровню отчетного финансового года, равный значению коэффициента-дефлятора для целей  применения </w:t>
      </w:r>
      <w:hyperlink r:id="rId3">
        <w:r>
          <w:rPr>
            <w:rStyle w:val="style26"/>
            <w:rStyle w:val="style26"/>
            <w:sz w:val="28"/>
            <w:szCs w:val="28"/>
          </w:rPr>
          <w:t>главы 32</w:t>
        </w:r>
      </w:hyperlink>
      <w:r>
        <w:rPr>
          <w:sz w:val="28"/>
          <w:szCs w:val="28"/>
        </w:rPr>
        <w:t xml:space="preserve"> «Налог на имущество физических лиц» Налогового кодекса Российской Федерации, установленному приказом Минэкономразвития от 29.10.2014 № 685 на 2015 год;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Кс – коэффициент изменения размера ставки  налога на имущество физических лиц, установленной на текущий финансовый год в бюджет муниципального образования, к размеру ставки, установленной на отчетный год;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 xml:space="preserve">Лизм – сумма налога на имущество физических лиц, прогнозируемая к поступлению (к уменьшению) в очередном финансовом году в связи с уменьшением (увеличением) льгот по налогу, предоставленных органом местного самоуправления на текущий год к уровню отчетного года, в том числе за счет изменений в порядке предоставления льгот в связи с принятием главы 32 Налогового кодекса Российской Федерации;   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Нвз – прогнозируемые поступления в виде неисполненных обязательств (недоимка) налогоплательщиков по налогу на имущество физических лиц (за исключением недоимки, числящейся за умершими гражданами и выбывшими за пределы территории области);</w:t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>Нимфлиц – норматив отчисления налога на имущество физических лиц в бюджет муниципального образования на очередной финансовый год».</w:t>
      </w:r>
    </w:p>
    <w:p>
      <w:pPr>
        <w:pStyle w:val="style0"/>
        <w:ind w:firstLine="709" w:left="0" w:right="0"/>
        <w:jc w:val="both"/>
      </w:pPr>
      <w:r>
        <w:rPr/>
      </w:r>
    </w:p>
    <w:p>
      <w:pPr>
        <w:pStyle w:val="style0"/>
        <w:ind w:firstLine="709" w:left="0" w:right="0"/>
        <w:jc w:val="both"/>
      </w:pPr>
      <w:r>
        <w:rPr>
          <w:b/>
          <w:sz w:val="28"/>
          <w:szCs w:val="28"/>
        </w:rPr>
        <w:t>2.2.4. По земельному налогу.</w:t>
      </w:r>
    </w:p>
    <w:p>
      <w:pPr>
        <w:pStyle w:val="style0"/>
        <w:ind w:firstLine="709" w:left="0" w:right="0"/>
        <w:jc w:val="both"/>
      </w:pPr>
      <w:r>
        <w:rPr/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2.2.5.1. Расчет прогноза поступления земельного налога с организаций в бюджет муниципального образования производится по следующей формуле:</w:t>
      </w:r>
    </w:p>
    <w:p>
      <w:pPr>
        <w:pStyle w:val="style0"/>
        <w:shd w:fill="FFFFFF" w:val="clear"/>
        <w:ind w:firstLine="709" w:left="0" w:right="0"/>
        <w:jc w:val="center"/>
      </w:pPr>
      <w:r>
        <w:rPr>
          <w:sz w:val="28"/>
          <w:szCs w:val="28"/>
        </w:rPr>
        <w:t>Нзем = (Зем – Збл +/– Зл +Зв + Нвз) × Нземл, где:</w:t>
      </w:r>
    </w:p>
    <w:p>
      <w:pPr>
        <w:pStyle w:val="style0"/>
        <w:shd w:fill="FFFFFF" w:val="clear"/>
        <w:ind w:firstLine="709" w:left="0" w:right="0"/>
        <w:jc w:val="both"/>
      </w:pPr>
      <w:r>
        <w:rPr>
          <w:sz w:val="28"/>
          <w:szCs w:val="28"/>
        </w:rPr>
        <w:t xml:space="preserve">                                 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Нзем – прогноз поступления земельного налога с организаций в бюджет  муниципального образования;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 xml:space="preserve">Зем – сумма земельного налога по юридическим лицам, подлежащая уплате в бюджет за отчетный финансовый год, по данным налоговой отчетности по форме № 5-МН «Отчет о налоговой базе и структуре начислений по местным налогам» (по коду строки 1600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«Отчет о налоговой базе и структуре начислений по земельному налогу по юридическим лицам»; 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Збл - сумма начисленного за отчетный год земельного налога по предприятиям, находящимся в отчетном и текущем финансовых годах в стадии банкротства и (или) ликвидации, по данным налоговых органов;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Зл – сумма земельного налога,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Зв – сумма земельного налога по юридическим лицам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Нвз – прогнозируемые поступления в виде неисполненных обязательств (недоимки) по земельному налогу с организаций.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Нземл – норматив отчислений по доходам от земельного налога с организаций в бюджет  муниципального образования.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2.2.5.2.  Расчет прогноза поступления земельного налога с физических лиц в бюджет  муниципального образования производится по следующей формуле:</w:t>
      </w:r>
    </w:p>
    <w:p>
      <w:pPr>
        <w:pStyle w:val="style0"/>
        <w:shd w:fill="FFFFFF" w:val="clear"/>
        <w:ind w:firstLine="709" w:left="0" w:right="0"/>
        <w:jc w:val="center"/>
      </w:pPr>
      <w:r>
        <w:rPr>
          <w:sz w:val="28"/>
          <w:szCs w:val="28"/>
        </w:rPr>
        <w:t>Нзем = (Зем – Збл +/– Зл + Зв + Нвз) × Нземл, где:</w:t>
      </w:r>
    </w:p>
    <w:p>
      <w:pPr>
        <w:pStyle w:val="style0"/>
        <w:shd w:fill="FFFFFF" w:val="clear"/>
        <w:ind w:firstLine="709" w:left="0" w:right="0"/>
        <w:jc w:val="both"/>
      </w:pPr>
      <w:r>
        <w:rPr>
          <w:sz w:val="28"/>
          <w:szCs w:val="28"/>
        </w:rPr>
        <w:t xml:space="preserve">                                 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Нзем – прогноз поступления земельного налога с физических лиц в бюджет  муниципального образования;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Зем – сумма земельного налога, подлежащая уплате в бюджет за отчетный финансовый год, по данным налоговой отчетности по форме          № 5-МН «Отчет о налоговой базе и структуре начислений по местным налогам» (по коду строки 2500 раздела II «Отчет о налоговой базе и структуре начислений по земельному налогу по физическим лицам»);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Збл - сумма начисленного за отчетный финансовый год земельного налога по физическим лицам, находящимся в отчетном и текущем финансовых годах в стадии банкротства и (или) ликвидации, по данным налоговых органов;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Зл – сумма земельного налога с физических лиц,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Зв – сумма земельного налога с физических лиц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Нвз – прогнозируемые поступления в виде неисполненных обязательств (недоимки) физических лиц по земельному налогу;</w:t>
      </w:r>
    </w:p>
    <w:p>
      <w:pPr>
        <w:pStyle w:val="style0"/>
        <w:shd w:fill="FFFFFF" w:val="clear"/>
        <w:spacing w:line="360" w:lineRule="auto"/>
        <w:ind w:firstLine="709" w:left="0" w:right="0"/>
        <w:jc w:val="both"/>
      </w:pPr>
      <w:r>
        <w:rPr>
          <w:sz w:val="28"/>
          <w:szCs w:val="28"/>
        </w:rPr>
        <w:t>Нземл – норматив отчислений по доходам от земельного налога с физических лиц в бюджет муниципального образования.</w:t>
      </w:r>
    </w:p>
    <w:p>
      <w:pPr>
        <w:pStyle w:val="style0"/>
        <w:ind w:firstLine="709" w:left="0" w:right="0"/>
        <w:jc w:val="both"/>
      </w:pPr>
      <w:r>
        <w:rPr/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b/>
          <w:sz w:val="28"/>
          <w:szCs w:val="28"/>
        </w:rPr>
        <w:t>2.2.5. По государственной пошлине.</w:t>
      </w:r>
    </w:p>
    <w:p>
      <w:pPr>
        <w:pStyle w:val="style0"/>
        <w:spacing w:line="360" w:lineRule="auto"/>
        <w:ind w:firstLine="709" w:left="0" w:right="0"/>
        <w:jc w:val="both"/>
      </w:pPr>
      <w:r>
        <w:rPr/>
      </w:r>
    </w:p>
    <w:p>
      <w:pPr>
        <w:pStyle w:val="style0"/>
        <w:tabs>
          <w:tab w:leader="none" w:pos="708" w:val="left"/>
          <w:tab w:leader="none" w:pos="851" w:val="left"/>
        </w:tabs>
        <w:spacing w:line="360" w:lineRule="auto"/>
        <w:jc w:val="both"/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Расчет прогноза поступления доходов от государственной пошлины  в бюджет муниципального образования  осуществляется соответствующими главными администраторами доходов исходя из ожидаемого поступления государственной пошлины за текущий финансовый год и показателей, характеризующих увеличение (уменьшение) количества регистрационных действий и (или) размеров государственной пошлины, установленных главой 25.3 Налогового  кодекса Российской Федерации.</w:t>
      </w:r>
    </w:p>
    <w:p>
      <w:pPr>
        <w:pStyle w:val="style0"/>
        <w:spacing w:line="360" w:lineRule="auto"/>
        <w:ind w:firstLine="709" w:left="0" w:right="0"/>
        <w:jc w:val="both"/>
      </w:pPr>
      <w:r>
        <w:rPr/>
      </w:r>
    </w:p>
    <w:p>
      <w:pPr>
        <w:pStyle w:val="style0"/>
        <w:tabs>
          <w:tab w:leader="none" w:pos="708" w:val="left"/>
          <w:tab w:leader="none" w:pos="851" w:val="left"/>
        </w:tabs>
      </w:pP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3. Неналоговые доходы</w:t>
      </w:r>
    </w:p>
    <w:p>
      <w:pPr>
        <w:pStyle w:val="style0"/>
        <w:tabs>
          <w:tab w:leader="none" w:pos="708" w:val="left"/>
          <w:tab w:leader="none" w:pos="851" w:val="left"/>
        </w:tabs>
        <w:jc w:val="center"/>
      </w:pPr>
      <w:r>
        <w:rPr/>
      </w:r>
    </w:p>
    <w:p>
      <w:pPr>
        <w:pStyle w:val="style39"/>
        <w:spacing w:line="360" w:lineRule="auto"/>
        <w:ind w:firstLine="720" w:left="0" w:right="0"/>
        <w:jc w:val="both"/>
      </w:pPr>
      <w:r>
        <w:rPr>
          <w:b w:val="false"/>
          <w:sz w:val="28"/>
          <w:szCs w:val="28"/>
        </w:rPr>
        <w:t xml:space="preserve">3.1. </w:t>
      </w:r>
      <w:r>
        <w:rPr>
          <w:b w:val="false"/>
          <w:iCs/>
          <w:sz w:val="28"/>
          <w:szCs w:val="28"/>
        </w:rPr>
        <w:t>Расчет прогноза поступления неналоговых доходов в бюджет муниципального образования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iCs/>
          <w:sz w:val="28"/>
          <w:szCs w:val="28"/>
        </w:rPr>
        <w:t xml:space="preserve"> производится по следующим видам неналоговых доходов.</w:t>
      </w:r>
    </w:p>
    <w:p>
      <w:pPr>
        <w:pStyle w:val="style37"/>
        <w:tabs>
          <w:tab w:leader="none" w:pos="708" w:val="left"/>
          <w:tab w:leader="none" w:pos="1575" w:val="left"/>
        </w:tabs>
        <w:spacing w:after="0" w:before="0" w:line="360" w:lineRule="auto"/>
        <w:ind w:firstLine="720" w:left="0" w:right="0"/>
        <w:jc w:val="both"/>
      </w:pPr>
      <w:r>
        <w:rPr>
          <w:sz w:val="28"/>
          <w:szCs w:val="28"/>
        </w:rPr>
        <w:t>3.1.1. По доходам, получаемым в виде арендной платы за передачу в возмездное пользование имущества,  находящегося в собственности поселения, доходам от реализации имущества, находящегося в собственности поселения, рассчитывается главным администратором  этих доходных источников, осуществляющих полномочия главных администраторов (администраторов) доходов бюджета поселения.</w:t>
      </w:r>
      <w:r>
        <w:rPr>
          <w:b/>
          <w:sz w:val="28"/>
          <w:szCs w:val="28"/>
        </w:rPr>
        <w:t xml:space="preserve"> </w:t>
      </w:r>
    </w:p>
    <w:p>
      <w:pPr>
        <w:pStyle w:val="style37"/>
        <w:spacing w:after="0" w:before="0" w:line="360" w:lineRule="auto"/>
        <w:ind w:firstLine="720" w:left="0" w:right="0"/>
        <w:jc w:val="both"/>
      </w:pPr>
      <w:r>
        <w:rPr>
          <w:sz w:val="28"/>
          <w:szCs w:val="28"/>
        </w:rPr>
        <w:t xml:space="preserve">3.1.2. По доходам, не имеющим постоянного характера, расчет составляется исходя  из  фактических поступлений прошлого года или оценки текущего года, рассчитанной по фактическим поступлениям за 1 полугодие текущего года. </w:t>
      </w:r>
    </w:p>
    <w:p>
      <w:pPr>
        <w:pStyle w:val="style0"/>
        <w:spacing w:line="360" w:lineRule="auto"/>
      </w:pPr>
      <w:r>
        <w:rPr/>
      </w:r>
    </w:p>
    <w:sectPr>
      <w:headerReference r:id="rId4" w:type="default"/>
      <w:type w:val="nextPage"/>
      <w:pgSz w:h="16838" w:w="11906"/>
      <w:pgMar w:bottom="1134" w:footer="0" w:gutter="0" w:header="708" w:left="1701" w:right="850" w:top="1134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0"/>
        <w:ind w:firstLine="540" w:left="0" w:right="0"/>
        <w:jc w:val="both"/>
      </w:pPr>
      <w:r>
        <w:rPr>
          <w:rStyle w:val="style23"/>
        </w:rPr>
        <w:footnoteRef/>
        <w:tab/>
      </w:r>
      <w:r>
        <w:rPr>
          <w:rStyle w:val="style23"/>
        </w:rPr>
        <w:tab/>
        <w:tab/>
      </w:r>
      <w:r>
        <w:rPr/>
        <w:t xml:space="preserve"> </w:t>
      </w:r>
      <w:r>
        <w:rPr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предприятий).</w:t>
      </w:r>
    </w:p>
    <w:p>
      <w:pPr>
        <w:pStyle w:val="style41"/>
        <w:jc w:val="both"/>
      </w:pPr>
      <w:r>
        <w:rPr/>
      </w:r>
    </w:p>
    <w:p>
      <w:pPr>
        <w:pStyle w:val="style44"/>
      </w:pPr>
      <w:r>
        <w:rPr/>
      </w:r>
    </w:p>
    <w:p>
      <w:pPr>
        <w:pStyle w:val="style44"/>
      </w:pPr>
      <w:r>
        <w:rPr/>
      </w:r>
    </w:p>
    <w:p>
      <w:pPr>
        <w:pStyle w:val="style44"/>
      </w:pPr>
      <w:r>
        <w:rPr/>
      </w:r>
    </w:p>
  </w:footnote>
  <w:footnote w:id="3">
    <w:p>
      <w:pPr>
        <w:pStyle w:val="style41"/>
        <w:jc w:val="both"/>
      </w:pPr>
      <w:r>
        <w:rPr>
          <w:rStyle w:val="style23"/>
        </w:rPr>
        <w:footnoteRef/>
        <w:tab/>
      </w:r>
      <w:r>
        <w:rPr>
          <w:rStyle w:val="style23"/>
        </w:rPr>
        <w:tab/>
        <w:tab/>
        <w:t>1</w:t>
      </w:r>
      <w:r>
        <w:rPr/>
        <w:t xml:space="preserve"> </w:t>
      </w:r>
      <w:r>
        <w:rPr>
          <w:rFonts w:ascii="Times New Roman" w:cs="Times New Roman" w:hAnsi="Times New Roman"/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</w:t>
      </w:r>
    </w:p>
    <w:p>
      <w:pPr>
        <w:pStyle w:val="style44"/>
      </w:pPr>
      <w:r>
        <w:rPr/>
      </w:r>
    </w:p>
    <w:p>
      <w:pPr>
        <w:pStyle w:val="style44"/>
      </w:pPr>
      <w:r>
        <w:rPr/>
      </w:r>
    </w:p>
    <w:p>
      <w:pPr>
        <w:pStyle w:val="style44"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2" w:type="paragraph">
    <w:name w:val="Заголовок 2"/>
    <w:basedOn w:val="style0"/>
    <w:next w:val="style32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bCs/>
      <w:i/>
      <w:iCs/>
      <w:sz w:val="28"/>
      <w:szCs w:val="20"/>
    </w:rPr>
  </w:style>
  <w:style w:styleId="style3" w:type="paragraph">
    <w:name w:val="Заголовок 3"/>
    <w:basedOn w:val="style0"/>
    <w:next w:val="style3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bCs/>
      <w:sz w:val="36"/>
      <w:szCs w:val="20"/>
    </w:rPr>
  </w:style>
  <w:style w:styleId="style8" w:type="paragraph">
    <w:name w:val="Заголовок 8"/>
    <w:basedOn w:val="style0"/>
    <w:next w:val="style32"/>
    <w:pPr>
      <w:keepNext/>
      <w:numPr>
        <w:ilvl w:val="7"/>
        <w:numId w:val="1"/>
      </w:numPr>
      <w:jc w:val="center"/>
      <w:outlineLvl w:val="7"/>
    </w:pPr>
    <w:rPr>
      <w:rFonts w:ascii="Arial" w:hAnsi="Arial"/>
      <w:b/>
      <w:bCs/>
      <w:sz w:val="18"/>
      <w:szCs w:val="20"/>
    </w:rPr>
  </w:style>
  <w:style w:styleId="style15" w:type="character">
    <w:name w:val="Default Paragraph Font"/>
    <w:next w:val="style15"/>
    <w:rPr/>
  </w:style>
  <w:style w:styleId="style16" w:type="character">
    <w:name w:val="Заголовок 2 Знак"/>
    <w:basedOn w:val="style15"/>
    <w:next w:val="style16"/>
    <w:rPr>
      <w:rFonts w:ascii="Arial" w:cs="Times New Roman" w:eastAsia="Times New Roman" w:hAnsi="Arial"/>
      <w:b/>
      <w:sz w:val="28"/>
      <w:szCs w:val="20"/>
      <w:lang w:eastAsia="ru-RU"/>
    </w:rPr>
  </w:style>
  <w:style w:styleId="style17" w:type="character">
    <w:name w:val="Заголовок 3 Знак"/>
    <w:basedOn w:val="style15"/>
    <w:next w:val="style17"/>
    <w:rPr>
      <w:rFonts w:ascii="Arial" w:cs="Times New Roman" w:eastAsia="Times New Roman" w:hAnsi="Arial"/>
      <w:b/>
      <w:sz w:val="36"/>
      <w:szCs w:val="20"/>
      <w:lang w:eastAsia="ru-RU"/>
    </w:rPr>
  </w:style>
  <w:style w:styleId="style18" w:type="character">
    <w:name w:val="Заголовок 8 Знак"/>
    <w:basedOn w:val="style15"/>
    <w:next w:val="style18"/>
    <w:rPr>
      <w:rFonts w:ascii="Arial" w:cs="Times New Roman" w:eastAsia="Times New Roman" w:hAnsi="Arial"/>
      <w:b/>
      <w:sz w:val="24"/>
      <w:szCs w:val="20"/>
      <w:lang w:eastAsia="ru-RU"/>
    </w:rPr>
  </w:style>
  <w:style w:styleId="style19" w:type="character">
    <w:name w:val="Основной текст Знак"/>
    <w:basedOn w:val="style15"/>
    <w:next w:val="style19"/>
    <w:rPr>
      <w:rFonts w:ascii="Times New Roman" w:cs="Times New Roman" w:eastAsia="Times New Roman" w:hAnsi="Times New Roman"/>
      <w:sz w:val="24"/>
      <w:szCs w:val="24"/>
      <w:lang w:eastAsia="ru-RU"/>
    </w:rPr>
  </w:style>
  <w:style w:styleId="style20" w:type="character">
    <w:name w:val="Основной текст 3 Знак"/>
    <w:basedOn w:val="style15"/>
    <w:next w:val="style20"/>
    <w:rPr>
      <w:rFonts w:ascii="Times New Roman" w:cs="Times New Roman" w:eastAsia="Times New Roman" w:hAnsi="Times New Roman"/>
      <w:sz w:val="16"/>
      <w:szCs w:val="16"/>
      <w:lang w:eastAsia="ru-RU"/>
    </w:rPr>
  </w:style>
  <w:style w:styleId="style21" w:type="character">
    <w:name w:val="Основной текст с отступом 2 Знак"/>
    <w:basedOn w:val="style15"/>
    <w:next w:val="style21"/>
    <w:rPr>
      <w:rFonts w:ascii="Times New Roman" w:cs="Times New Roman" w:eastAsia="Times New Roman" w:hAnsi="Times New Roman"/>
      <w:sz w:val="24"/>
      <w:szCs w:val="24"/>
      <w:lang w:eastAsia="ru-RU"/>
    </w:rPr>
  </w:style>
  <w:style w:styleId="style22" w:type="character">
    <w:name w:val="Текст сноски Знак"/>
    <w:basedOn w:val="style15"/>
    <w:next w:val="style22"/>
    <w:rPr>
      <w:rFonts w:ascii="Arial" w:cs="Arial" w:eastAsia="Times New Roman" w:hAnsi="Arial"/>
      <w:sz w:val="20"/>
      <w:szCs w:val="20"/>
      <w:lang w:eastAsia="ru-RU"/>
    </w:rPr>
  </w:style>
  <w:style w:styleId="style23" w:type="character">
    <w:name w:val="footnote reference"/>
    <w:basedOn w:val="style15"/>
    <w:next w:val="style23"/>
    <w:rPr>
      <w:vertAlign w:val="superscript"/>
    </w:rPr>
  </w:style>
  <w:style w:styleId="style24" w:type="character">
    <w:name w:val="Верхний колонтитул Знак"/>
    <w:basedOn w:val="style15"/>
    <w:next w:val="style24"/>
    <w:rPr>
      <w:rFonts w:ascii="Times New Roman" w:cs="Times New Roman" w:eastAsia="Times New Roman" w:hAnsi="Times New Roman"/>
      <w:sz w:val="24"/>
      <w:szCs w:val="24"/>
      <w:lang w:eastAsia="ru-RU"/>
    </w:rPr>
  </w:style>
  <w:style w:styleId="style25" w:type="character">
    <w:name w:val="Текст выноски Знак"/>
    <w:basedOn w:val="style15"/>
    <w:next w:val="style25"/>
    <w:rPr>
      <w:rFonts w:ascii="Tahoma" w:cs="Tahoma" w:eastAsia="Times New Roman" w:hAnsi="Tahoma"/>
      <w:sz w:val="16"/>
      <w:szCs w:val="16"/>
      <w:lang w:eastAsia="ru-RU"/>
    </w:rPr>
  </w:style>
  <w:style w:styleId="style26" w:type="character">
    <w:name w:val="Интернет-ссылка"/>
    <w:next w:val="style26"/>
    <w:rPr>
      <w:color w:val="000080"/>
      <w:u w:val="single"/>
      <w:lang w:bidi="ru-RU" w:eastAsia="ru-RU" w:val="ru-RU"/>
    </w:rPr>
  </w:style>
  <w:style w:styleId="style27" w:type="character">
    <w:name w:val="Привязка сноски"/>
    <w:next w:val="style27"/>
    <w:rPr>
      <w:vertAlign w:val="superscript"/>
    </w:rPr>
  </w:style>
  <w:style w:styleId="style28" w:type="character">
    <w:name w:val="Привязка концевой сноски"/>
    <w:next w:val="style28"/>
    <w:rPr>
      <w:vertAlign w:val="superscript"/>
    </w:rPr>
  </w:style>
  <w:style w:styleId="style29" w:type="character">
    <w:name w:val="Символ сноски"/>
    <w:next w:val="style29"/>
    <w:rPr/>
  </w:style>
  <w:style w:styleId="style30" w:type="character">
    <w:name w:val="Символы концевой сноски"/>
    <w:next w:val="style30"/>
    <w:rPr/>
  </w:style>
  <w:style w:styleId="style31" w:type="paragraph">
    <w:name w:val="Заголовок"/>
    <w:basedOn w:val="style0"/>
    <w:next w:val="style32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32" w:type="paragraph">
    <w:name w:val="Основной текст"/>
    <w:basedOn w:val="style0"/>
    <w:next w:val="style32"/>
    <w:pPr>
      <w:tabs>
        <w:tab w:leader="none" w:pos="1560" w:val="left"/>
      </w:tabs>
      <w:spacing w:after="120" w:before="0"/>
      <w:jc w:val="both"/>
    </w:pPr>
    <w:rPr/>
  </w:style>
  <w:style w:styleId="style33" w:type="paragraph">
    <w:name w:val="Список"/>
    <w:basedOn w:val="style32"/>
    <w:next w:val="style33"/>
    <w:pPr/>
    <w:rPr>
      <w:rFonts w:cs="Mangal"/>
    </w:rPr>
  </w:style>
  <w:style w:styleId="style34" w:type="paragraph">
    <w:name w:val="Название"/>
    <w:basedOn w:val="style0"/>
    <w:next w:val="style34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5" w:type="paragraph">
    <w:name w:val="Указатель"/>
    <w:basedOn w:val="style0"/>
    <w:next w:val="style35"/>
    <w:pPr>
      <w:suppressLineNumbers/>
    </w:pPr>
    <w:rPr>
      <w:rFonts w:cs="Mangal"/>
    </w:rPr>
  </w:style>
  <w:style w:styleId="style36" w:type="paragraph">
    <w:name w:val="Body Text 3"/>
    <w:basedOn w:val="style0"/>
    <w:next w:val="style36"/>
    <w:pPr>
      <w:spacing w:after="120" w:before="0"/>
    </w:pPr>
    <w:rPr>
      <w:sz w:val="16"/>
      <w:szCs w:val="16"/>
    </w:rPr>
  </w:style>
  <w:style w:styleId="style37" w:type="paragraph">
    <w:name w:val="Body Text Indent 2"/>
    <w:basedOn w:val="style0"/>
    <w:next w:val="style37"/>
    <w:pPr>
      <w:spacing w:after="120" w:before="0" w:line="480" w:lineRule="auto"/>
      <w:ind w:hanging="0" w:left="283" w:right="0"/>
    </w:pPr>
    <w:rPr/>
  </w:style>
  <w:style w:styleId="style38" w:type="paragraph">
    <w:name w:val="ConsPlusNormal"/>
    <w:next w:val="style38"/>
    <w:pPr>
      <w:widowControl w:val="false"/>
      <w:tabs>
        <w:tab w:leader="none" w:pos="708" w:val="left"/>
      </w:tabs>
      <w:suppressAutoHyphens w:val="true"/>
      <w:spacing w:after="0" w:before="0" w:line="100" w:lineRule="atLeast"/>
      <w:ind w:firstLine="720" w:left="0" w:right="0"/>
    </w:pPr>
    <w:rPr>
      <w:rFonts w:ascii="Arial" w:cs="Arial" w:eastAsia="Times New Roman" w:hAnsi="Arial"/>
      <w:color w:val="00000A"/>
      <w:sz w:val="20"/>
      <w:szCs w:val="20"/>
      <w:lang w:bidi="ar-SA" w:eastAsia="ru-RU" w:val="ru-RU"/>
    </w:rPr>
  </w:style>
  <w:style w:styleId="style39" w:type="paragraph">
    <w:name w:val="#Таблица названия столбцов"/>
    <w:basedOn w:val="style0"/>
    <w:next w:val="style39"/>
    <w:pPr>
      <w:jc w:val="center"/>
    </w:pPr>
    <w:rPr>
      <w:b/>
      <w:sz w:val="20"/>
      <w:szCs w:val="20"/>
    </w:rPr>
  </w:style>
  <w:style w:styleId="style40" w:type="paragraph">
    <w:name w:val="ConsPlusNonformat"/>
    <w:next w:val="style40"/>
    <w:pPr>
      <w:widowControl w:val="false"/>
      <w:tabs>
        <w:tab w:leader="none" w:pos="708" w:val="left"/>
      </w:tabs>
      <w:suppressAutoHyphens w:val="true"/>
      <w:spacing w:after="0" w:before="0" w:line="100" w:lineRule="atLeast"/>
    </w:pPr>
    <w:rPr>
      <w:rFonts w:ascii="Courier New" w:cs="Courier New" w:eastAsia="Times New Roman" w:hAnsi="Courier New"/>
      <w:color w:val="00000A"/>
      <w:sz w:val="20"/>
      <w:szCs w:val="20"/>
      <w:lang w:bidi="ar-SA" w:eastAsia="ru-RU" w:val="ru-RU"/>
    </w:rPr>
  </w:style>
  <w:style w:styleId="style41" w:type="paragraph">
    <w:name w:val="footnote text"/>
    <w:basedOn w:val="style0"/>
    <w:next w:val="style41"/>
    <w:pPr>
      <w:widowControl w:val="false"/>
    </w:pPr>
    <w:rPr>
      <w:rFonts w:ascii="Arial" w:cs="Arial" w:hAnsi="Arial"/>
      <w:sz w:val="20"/>
      <w:szCs w:val="20"/>
    </w:rPr>
  </w:style>
  <w:style w:styleId="style42" w:type="paragraph">
    <w:name w:val="Верхний колонтитул"/>
    <w:basedOn w:val="style0"/>
    <w:next w:val="style42"/>
    <w:pPr>
      <w:suppressLineNumbers/>
      <w:tabs>
        <w:tab w:leader="none" w:pos="4677" w:val="center"/>
        <w:tab w:leader="none" w:pos="9355" w:val="right"/>
      </w:tabs>
    </w:pPr>
    <w:rPr/>
  </w:style>
  <w:style w:styleId="style43" w:type="paragraph">
    <w:name w:val="Balloon Text"/>
    <w:basedOn w:val="style0"/>
    <w:next w:val="style43"/>
    <w:pPr/>
    <w:rPr>
      <w:rFonts w:ascii="Tahoma" w:cs="Tahoma" w:hAnsi="Tahoma"/>
      <w:sz w:val="16"/>
      <w:szCs w:val="16"/>
    </w:rPr>
  </w:style>
  <w:style w:styleId="style44" w:type="paragraph">
    <w:name w:val="Сноска"/>
    <w:basedOn w:val="style0"/>
    <w:next w:val="style44"/>
    <w:pPr>
      <w:suppressLineNumbers/>
      <w:ind w:hanging="283" w:left="283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C3DC311C853282BAB2B0EE06FE926A04268771B724E89336FF95737BA587231629677BDD854F744B77159CpEvDG" TargetMode="External"/><Relationship Id="rId3" Type="http://schemas.openxmlformats.org/officeDocument/2006/relationships/hyperlink" Target="consultantplus://offline/ref=B5CBE96C9EE4C4A8B0C0F63C3125ADA060986172642F5291089A208E87709D2AC60036D218FAEBZCZ7I" TargetMode="External"/><Relationship Id="rId4" Type="http://schemas.openxmlformats.org/officeDocument/2006/relationships/header" Target="head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LibreOffice/3.4$Win32 LibreOffice_project/340m1$Build-302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2015-12-02T13:37:00.00Z</dcterms:created>
  <dc:creator>сельсовет</dc:creator>
  <cp:lastModifiedBy>User</cp:lastModifiedBy>
  <cp:lastPrinted>2015-12-03T15:40:57.32Z</cp:lastPrinted>
  <dcterms:modified xsi:type="dcterms:W3CDTF">2015-12-03T07:03:00.00Z</dcterms:modified>
  <cp:revision>5</cp:revision>
</cp:coreProperties>
</file>