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708" w:val="left"/>
          <w:tab w:leader="none" w:pos="6237" w:val="left"/>
          <w:tab w:leader="none" w:pos="6379" w:val="left"/>
        </w:tabs>
        <w:spacing w:after="0" w:before="0"/>
        <w:jc w:val="center"/>
      </w:pPr>
      <w:r>
        <w:rPr/>
      </w:r>
    </w:p>
    <w:p>
      <w:pPr>
        <w:pStyle w:val="style0"/>
        <w:tabs>
          <w:tab w:leader="none" w:pos="708" w:val="left"/>
          <w:tab w:leader="none" w:pos="6237" w:val="left"/>
          <w:tab w:leader="none" w:pos="6379" w:val="left"/>
        </w:tabs>
        <w:spacing w:after="0" w:before="0"/>
        <w:jc w:val="center"/>
      </w:pPr>
      <w:r>
        <w:rPr>
          <w:rFonts w:ascii="Times New Roman" w:cs="Times New Roman" w:hAnsi="Times New Roman"/>
          <w:b/>
          <w:sz w:val="28"/>
          <w:szCs w:val="28"/>
        </w:rPr>
        <w:t xml:space="preserve">АДМИНИСТРАЦИЯ БОЛЬШЕКИТЯКСКОГО СЕЛЬСКОГО ПОСЕЛЕНИЯ МАЛМЫЖСКОГО РАЙОНА КИРОВСКОЙ ОБЛАСТИ                           </w:t>
      </w:r>
    </w:p>
    <w:p>
      <w:pPr>
        <w:pStyle w:val="style0"/>
        <w:tabs>
          <w:tab w:leader="none" w:pos="708" w:val="left"/>
          <w:tab w:leader="none" w:pos="6237" w:val="left"/>
          <w:tab w:leader="none" w:pos="6379" w:val="left"/>
        </w:tabs>
        <w:spacing w:after="0" w:before="0"/>
        <w:jc w:val="center"/>
      </w:pPr>
      <w:r>
        <w:rPr/>
      </w:r>
    </w:p>
    <w:p>
      <w:pPr>
        <w:pStyle w:val="style3"/>
        <w:numPr>
          <w:ilvl w:val="2"/>
          <w:numId w:val="2"/>
        </w:numPr>
      </w:pPr>
      <w:r>
        <w:rPr>
          <w:sz w:val="28"/>
          <w:szCs w:val="28"/>
        </w:rPr>
        <w:t xml:space="preserve">РАСПОРЯЖЕНИЕ </w:t>
      </w:r>
    </w:p>
    <w:p>
      <w:pPr>
        <w:pStyle w:val="style0"/>
        <w:spacing w:after="0" w:before="0"/>
      </w:pPr>
      <w:r>
        <w:rPr/>
      </w:r>
    </w:p>
    <w:p>
      <w:pPr>
        <w:pStyle w:val="style0"/>
        <w:spacing w:after="0" w:before="0"/>
      </w:pPr>
      <w:r>
        <w:rPr>
          <w:rFonts w:ascii="Times New Roman" w:cs="Times New Roman" w:hAnsi="Times New Roman"/>
          <w:bCs/>
          <w:sz w:val="28"/>
          <w:szCs w:val="28"/>
        </w:rPr>
        <w:t xml:space="preserve"> </w:t>
      </w:r>
      <w:r>
        <w:rPr>
          <w:rFonts w:ascii="Times New Roman" w:cs="Times New Roman" w:hAnsi="Times New Roman"/>
          <w:bCs/>
          <w:sz w:val="28"/>
          <w:szCs w:val="28"/>
        </w:rPr>
        <w:t xml:space="preserve">10.11.2014                                                                                                   №  11                               </w:t>
      </w:r>
    </w:p>
    <w:p>
      <w:pPr>
        <w:pStyle w:val="style0"/>
        <w:spacing w:after="0" w:before="0"/>
      </w:pPr>
      <w:r>
        <w:rPr>
          <w:rFonts w:ascii="Times New Roman" w:cs="Times New Roman" w:hAnsi="Times New Roman"/>
          <w:bCs/>
          <w:sz w:val="28"/>
          <w:szCs w:val="28"/>
        </w:rPr>
        <w:t xml:space="preserve">                                                         </w:t>
      </w:r>
      <w:r>
        <w:rPr>
          <w:rFonts w:ascii="Times New Roman" w:cs="Times New Roman" w:hAnsi="Times New Roman"/>
          <w:bCs/>
          <w:sz w:val="28"/>
          <w:szCs w:val="28"/>
        </w:rPr>
        <w:t>с. Большой Китяк</w:t>
      </w:r>
    </w:p>
    <w:p>
      <w:pPr>
        <w:pStyle w:val="style0"/>
        <w:spacing w:after="0" w:before="0"/>
      </w:pPr>
      <w:r>
        <w:rPr/>
      </w:r>
    </w:p>
    <w:p>
      <w:pPr>
        <w:pStyle w:val="style0"/>
        <w:spacing w:after="0" w:before="0"/>
      </w:pPr>
      <w:r>
        <w:rPr/>
      </w:r>
    </w:p>
    <w:p>
      <w:pPr>
        <w:pStyle w:val="style0"/>
        <w:spacing w:after="0" w:before="0"/>
        <w:jc w:val="center"/>
      </w:pPr>
      <w:r>
        <w:rPr>
          <w:rFonts w:ascii="Times New Roman" w:cs="Times New Roman" w:hAnsi="Times New Roman"/>
          <w:b/>
          <w:bCs/>
          <w:sz w:val="28"/>
          <w:szCs w:val="28"/>
        </w:rPr>
        <w:t>Об утверждении Методики   планирования бюджетных ассигнований бюджета муниципального образования Большекитякское сельское поселение  Малмыжского района Кировской области</w:t>
      </w:r>
    </w:p>
    <w:p>
      <w:pPr>
        <w:pStyle w:val="style0"/>
        <w:spacing w:after="0" w:before="0"/>
      </w:pPr>
      <w:r>
        <w:rPr/>
      </w:r>
    </w:p>
    <w:p>
      <w:pPr>
        <w:pStyle w:val="style0"/>
        <w:spacing w:after="0" w:before="0"/>
        <w:ind w:hanging="0" w:left="180" w:right="0"/>
        <w:jc w:val="both"/>
      </w:pPr>
      <w:r>
        <w:rPr>
          <w:rFonts w:ascii="Times New Roman" w:cs="Times New Roman" w:hAnsi="Times New Roman"/>
          <w:bCs/>
          <w:sz w:val="28"/>
          <w:szCs w:val="28"/>
        </w:rPr>
        <w:t xml:space="preserve">          </w:t>
      </w:r>
      <w:r>
        <w:rPr>
          <w:rFonts w:ascii="Times New Roman" w:cs="Times New Roman" w:hAnsi="Times New Roman"/>
          <w:bCs/>
          <w:sz w:val="28"/>
          <w:szCs w:val="28"/>
        </w:rPr>
        <w:t xml:space="preserve">В целях формирования  бюджета муниципального  образования Большекитякское сельское поселение Малмыжского района  и создания единой методологической базы для расчетов бюджетных ассигнований  бюджета сельского поселения, утвердить     методику планирования бюджетных ассигнований  бюджета муниципального образования Большекитякское сельское поселение Малмыжского района Кировской области согласно приложения.   </w:t>
      </w:r>
    </w:p>
    <w:p>
      <w:pPr>
        <w:pStyle w:val="style0"/>
        <w:spacing w:after="0" w:before="0"/>
        <w:jc w:val="both"/>
      </w:pPr>
      <w:r>
        <w:rPr>
          <w:rFonts w:ascii="Times New Roman" w:cs="Times New Roman" w:hAnsi="Times New Roman"/>
          <w:bCs/>
          <w:sz w:val="28"/>
          <w:szCs w:val="28"/>
        </w:rPr>
        <w:t xml:space="preserve">  </w:t>
      </w:r>
    </w:p>
    <w:p>
      <w:pPr>
        <w:pStyle w:val="style0"/>
        <w:spacing w:after="0" w:before="0"/>
      </w:pPr>
      <w:r>
        <w:rPr>
          <w:rFonts w:ascii="Times New Roman" w:cs="Times New Roman" w:hAnsi="Times New Roman"/>
          <w:b/>
          <w:bCs/>
          <w:sz w:val="28"/>
          <w:szCs w:val="28"/>
        </w:rPr>
        <w:t xml:space="preserve"> </w:t>
      </w:r>
    </w:p>
    <w:p>
      <w:pPr>
        <w:pStyle w:val="style0"/>
        <w:spacing w:after="0" w:before="0"/>
      </w:pPr>
      <w:r>
        <w:rPr/>
      </w:r>
    </w:p>
    <w:p>
      <w:pPr>
        <w:pStyle w:val="style0"/>
        <w:spacing w:after="0" w:before="0"/>
      </w:pPr>
      <w:r>
        <w:rPr/>
      </w:r>
    </w:p>
    <w:p>
      <w:pPr>
        <w:pStyle w:val="style0"/>
        <w:spacing w:after="0" w:before="0"/>
      </w:pPr>
      <w:r>
        <w:rPr>
          <w:rFonts w:ascii="Times New Roman" w:cs="Times New Roman" w:hAnsi="Times New Roman"/>
          <w:sz w:val="28"/>
          <w:szCs w:val="28"/>
        </w:rPr>
        <w:t xml:space="preserve">  </w:t>
      </w:r>
      <w:r>
        <w:rPr>
          <w:rFonts w:ascii="Times New Roman" w:cs="Times New Roman" w:hAnsi="Times New Roman"/>
          <w:sz w:val="28"/>
          <w:szCs w:val="28"/>
        </w:rPr>
        <w:t xml:space="preserve">Глава  сельского поселения       В.А. Калганов                                                   </w:t>
      </w:r>
    </w:p>
    <w:p>
      <w:pPr>
        <w:pStyle w:val="style0"/>
        <w:spacing w:after="0" w:before="0"/>
      </w:pPr>
      <w:r>
        <w:rPr/>
      </w:r>
    </w:p>
    <w:p>
      <w:pPr>
        <w:pStyle w:val="style0"/>
        <w:spacing w:after="0" w:befor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tabs>
          <w:tab w:leader="none" w:pos="708" w:val="left"/>
          <w:tab w:leader="none" w:pos="6237" w:val="left"/>
          <w:tab w:leader="none" w:pos="6379" w:val="left"/>
        </w:tabs>
      </w:pPr>
      <w:r>
        <w:rPr/>
      </w:r>
    </w:p>
    <w:p>
      <w:pPr>
        <w:pStyle w:val="style0"/>
        <w:tabs>
          <w:tab w:leader="none" w:pos="708" w:val="left"/>
          <w:tab w:leader="none" w:pos="6237" w:val="left"/>
          <w:tab w:leader="none" w:pos="6379" w:val="left"/>
        </w:tabs>
      </w:pPr>
      <w:r>
        <w:rPr/>
      </w:r>
    </w:p>
    <w:p>
      <w:pPr>
        <w:pStyle w:val="style0"/>
        <w:tabs>
          <w:tab w:leader="none" w:pos="708" w:val="left"/>
          <w:tab w:leader="none" w:pos="6237" w:val="left"/>
          <w:tab w:leader="none" w:pos="6379" w:val="left"/>
        </w:tabs>
      </w:pPr>
      <w:r>
        <w:rPr/>
      </w:r>
    </w:p>
    <w:p>
      <w:pPr>
        <w:pStyle w:val="style0"/>
        <w:tabs>
          <w:tab w:leader="none" w:pos="708" w:val="left"/>
          <w:tab w:leader="none" w:pos="6237" w:val="left"/>
          <w:tab w:leader="none" w:pos="6379" w:val="left"/>
        </w:tabs>
      </w:pPr>
      <w:r>
        <w:rPr/>
      </w:r>
    </w:p>
    <w:p>
      <w:pPr>
        <w:pStyle w:val="style0"/>
        <w:tabs>
          <w:tab w:leader="none" w:pos="708" w:val="left"/>
          <w:tab w:leader="none" w:pos="6237" w:val="left"/>
          <w:tab w:leader="none" w:pos="6379" w:val="left"/>
        </w:tabs>
        <w:jc w:val="center"/>
      </w:pPr>
      <w:r>
        <w:rPr>
          <w:rFonts w:ascii="Times New Roman" w:cs="Times New Roman" w:hAnsi="Times New Roman"/>
          <w:sz w:val="28"/>
          <w:szCs w:val="28"/>
        </w:rPr>
        <w:t xml:space="preserve">            </w:t>
      </w:r>
      <w:r>
        <w:rPr>
          <w:rFonts w:ascii="Times New Roman" w:cs="Times New Roman" w:hAnsi="Times New Roman"/>
          <w:sz w:val="28"/>
          <w:szCs w:val="28"/>
        </w:rPr>
        <w:t>УТВЕРЖДЕНА</w:t>
      </w:r>
    </w:p>
    <w:p>
      <w:pPr>
        <w:pStyle w:val="style0"/>
        <w:tabs>
          <w:tab w:leader="none" w:pos="708" w:val="left"/>
          <w:tab w:leader="none" w:pos="6379" w:val="left"/>
          <w:tab w:leader="none" w:pos="6521" w:val="left"/>
        </w:tabs>
        <w:spacing w:after="0" w:before="0" w:line="100" w:lineRule="atLeast"/>
        <w:jc w:val="center"/>
      </w:pPr>
      <w:r>
        <w:rPr>
          <w:rFonts w:ascii="Times New Roman" w:cs="Times New Roman" w:hAnsi="Times New Roman"/>
          <w:sz w:val="28"/>
          <w:szCs w:val="28"/>
        </w:rPr>
        <w:t xml:space="preserve">                                                     </w:t>
      </w:r>
      <w:r>
        <w:rPr>
          <w:rFonts w:ascii="Times New Roman" w:cs="Times New Roman" w:hAnsi="Times New Roman"/>
          <w:sz w:val="28"/>
          <w:szCs w:val="28"/>
        </w:rPr>
        <w:t>Распоряжением администрации сельского</w:t>
      </w:r>
    </w:p>
    <w:p>
      <w:pPr>
        <w:pStyle w:val="style0"/>
        <w:tabs>
          <w:tab w:leader="none" w:pos="708" w:val="left"/>
          <w:tab w:leader="none" w:pos="6379" w:val="left"/>
          <w:tab w:leader="none" w:pos="6521" w:val="left"/>
        </w:tabs>
        <w:spacing w:after="0" w:before="0" w:line="100" w:lineRule="atLeast"/>
        <w:jc w:val="center"/>
      </w:pPr>
      <w:r>
        <w:rPr>
          <w:rFonts w:ascii="Times New Roman" w:cs="Times New Roman" w:hAnsi="Times New Roman"/>
          <w:sz w:val="28"/>
          <w:szCs w:val="28"/>
        </w:rPr>
        <w:t xml:space="preserve">                                    </w:t>
      </w:r>
      <w:r>
        <w:rPr>
          <w:rFonts w:ascii="Times New Roman" w:cs="Times New Roman" w:hAnsi="Times New Roman"/>
          <w:sz w:val="28"/>
          <w:szCs w:val="28"/>
        </w:rPr>
        <w:t>поселения от  10.11.2014  № 11</w:t>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Fonts w:ascii="Times New Roman" w:cs="Times New Roman" w:hAnsi="Times New Roman"/>
          <w:b/>
          <w:sz w:val="28"/>
          <w:szCs w:val="28"/>
        </w:rPr>
        <w:t>МЕТОДИКА</w:t>
      </w:r>
    </w:p>
    <w:p>
      <w:pPr>
        <w:pStyle w:val="style0"/>
        <w:spacing w:after="0" w:before="0" w:line="100" w:lineRule="atLeast"/>
        <w:jc w:val="center"/>
      </w:pPr>
      <w:r>
        <w:rPr>
          <w:rFonts w:ascii="Times New Roman" w:cs="Times New Roman" w:hAnsi="Times New Roman"/>
          <w:b/>
          <w:sz w:val="28"/>
          <w:szCs w:val="28"/>
        </w:rPr>
        <w:t>планирования бюджетных ассигнований бюджета муниципального образования Большекитякское сельское поселение Малмыжского района Кировской</w:t>
        <w:tab/>
        <w:t xml:space="preserve"> области</w:t>
      </w:r>
    </w:p>
    <w:p>
      <w:pPr>
        <w:pStyle w:val="style0"/>
        <w:spacing w:after="0" w:before="0" w:line="100" w:lineRule="atLeast"/>
        <w:jc w:val="center"/>
      </w:pPr>
      <w:r>
        <w:rPr/>
      </w:r>
    </w:p>
    <w:p>
      <w:pPr>
        <w:pStyle w:val="style28"/>
        <w:numPr>
          <w:ilvl w:val="0"/>
          <w:numId w:val="3"/>
        </w:numPr>
        <w:tabs>
          <w:tab w:leader="none" w:pos="1428" w:val="left"/>
          <w:tab w:leader="none" w:pos="4842" w:val="left"/>
          <w:tab w:leader="none" w:pos="4984" w:val="left"/>
          <w:tab w:leader="none" w:pos="5126" w:val="left"/>
        </w:tabs>
        <w:spacing w:after="0" w:before="0" w:line="100" w:lineRule="atLeast"/>
        <w:jc w:val="center"/>
      </w:pPr>
      <w:r>
        <w:rPr>
          <w:rFonts w:ascii="Times New Roman" w:cs="Times New Roman" w:hAnsi="Times New Roman"/>
          <w:b/>
          <w:sz w:val="28"/>
          <w:szCs w:val="28"/>
        </w:rPr>
        <w:t>Общие положения</w:t>
      </w:r>
    </w:p>
    <w:p>
      <w:pPr>
        <w:pStyle w:val="style28"/>
        <w:tabs>
          <w:tab w:leader="none" w:pos="1788" w:val="left"/>
          <w:tab w:leader="none" w:pos="5562" w:val="left"/>
          <w:tab w:leader="none" w:pos="5704" w:val="left"/>
          <w:tab w:leader="none" w:pos="5846" w:val="left"/>
        </w:tabs>
        <w:spacing w:after="0" w:before="0" w:line="100" w:lineRule="atLeast"/>
        <w:ind w:hanging="0" w:left="1080" w:right="0"/>
      </w:pPr>
      <w:r>
        <w:rPr/>
      </w:r>
    </w:p>
    <w:p>
      <w:pPr>
        <w:pStyle w:val="style28"/>
        <w:numPr>
          <w:ilvl w:val="0"/>
          <w:numId w:val="4"/>
        </w:numPr>
        <w:tabs>
          <w:tab w:leader="none" w:pos="708" w:val="left"/>
          <w:tab w:leader="none" w:pos="993" w:val="left"/>
        </w:tabs>
        <w:spacing w:after="0" w:before="0" w:line="100" w:lineRule="atLeast"/>
        <w:ind w:firstLine="709" w:left="0" w:right="0"/>
        <w:jc w:val="both"/>
      </w:pPr>
      <w:r>
        <w:rPr>
          <w:rFonts w:ascii="Times New Roman" w:cs="Times New Roman" w:hAnsi="Times New Roman"/>
          <w:sz w:val="28"/>
          <w:szCs w:val="28"/>
        </w:rPr>
        <w:t xml:space="preserve">Настоящая Методика планирования бюджетных ассигнований бюджета муниципального образования  Большекитякское сельское поселение Малмыжского района Кировской области (далее - Методика) разработана в соответствии со статьей 174.2 Бюджетного кодекса Российской Федерации и </w:t>
      </w:r>
      <w:r>
        <w:rPr>
          <w:rFonts w:ascii="Times New Roman" w:cs="Times New Roman" w:hAnsi="Times New Roman"/>
          <w:color w:val="000000"/>
          <w:sz w:val="28"/>
          <w:szCs w:val="28"/>
        </w:rPr>
        <w:t xml:space="preserve"> главы 3 Положения о бюджетном процессе в муниципальном образовании Большекитякское сельское поселение Малмыжского района Кировской области, утвержденного решением сельской  Думы Большекитякского сельского поселения Малмыжского района от 08.11.2013 № 18  «О бюджетном процессе в муниципальном образовании  Большекитякское сельское поселение Малмыжского района  Кировской области»  </w:t>
      </w:r>
      <w:r>
        <w:rPr>
          <w:rFonts w:ascii="Times New Roman" w:cs="Times New Roman" w:hAnsi="Times New Roman"/>
          <w:sz w:val="28"/>
          <w:szCs w:val="28"/>
        </w:rPr>
        <w:t>и определяет порядок расчета бюджетных ассигнований в целях составления проекта бюджета муниципального образования  Большекитякское сельское поселение Малмыжского района Кировской области на очередной финансовый год и плановый период.</w:t>
      </w:r>
    </w:p>
    <w:p>
      <w:pPr>
        <w:pStyle w:val="style28"/>
        <w:tabs>
          <w:tab w:leader="none" w:pos="1417" w:val="left"/>
          <w:tab w:leader="none" w:pos="2411" w:val="left"/>
        </w:tabs>
        <w:spacing w:after="0" w:before="0" w:line="100" w:lineRule="atLeast"/>
        <w:ind w:hanging="0" w:left="709" w:right="0"/>
        <w:jc w:val="both"/>
      </w:pPr>
      <w:r>
        <w:rPr/>
      </w:r>
    </w:p>
    <w:p>
      <w:pPr>
        <w:pStyle w:val="style28"/>
        <w:numPr>
          <w:ilvl w:val="0"/>
          <w:numId w:val="4"/>
        </w:numPr>
        <w:tabs>
          <w:tab w:leader="none" w:pos="708" w:val="left"/>
          <w:tab w:leader="none" w:pos="993" w:val="left"/>
        </w:tabs>
        <w:spacing w:after="0" w:before="0" w:line="100" w:lineRule="atLeast"/>
        <w:ind w:firstLine="709" w:left="0" w:right="0"/>
        <w:jc w:val="both"/>
      </w:pPr>
      <w:r>
        <w:rPr>
          <w:rFonts w:ascii="Times New Roman" w:cs="Times New Roman" w:hAnsi="Times New Roman"/>
          <w:sz w:val="28"/>
          <w:szCs w:val="28"/>
        </w:rPr>
        <w:t>Планирование бюджетных ассигнований бюджета муниципального образования Большекитякское сельское поселение Малмыжского  района (далее - бюджетные ассигнования) осуществляется в соответствии с расходными обязательствами, установленными федеральным законодательством, законами Кировской области, нормативными правовыми актами Правительства Кировской области, решениями сельской Думы, нормативными правовыми актами администрации Большекитякского сельского поселения Малмыжского района, договорами и соглашениями, заключенными муниципальным образованием Большекитякское сельское поселение Малмыжского района или  от его имени уполномоченными органами, исполнение которых должно происходить в очередном финансовом году (в очередном финансовом году и плановом периоде) за счет средств бюджета муниципального образования Большекитякское сельское поселение Малмыжского  района (за исключением целевых межбюджетных трансфертов).</w:t>
      </w:r>
    </w:p>
    <w:p>
      <w:pPr>
        <w:pStyle w:val="style28"/>
      </w:pPr>
      <w:r>
        <w:rPr/>
      </w:r>
    </w:p>
    <w:p>
      <w:pPr>
        <w:pStyle w:val="style28"/>
        <w:numPr>
          <w:ilvl w:val="0"/>
          <w:numId w:val="4"/>
        </w:numPr>
        <w:tabs>
          <w:tab w:leader="none" w:pos="708" w:val="left"/>
          <w:tab w:leader="none" w:pos="993" w:val="left"/>
        </w:tabs>
        <w:spacing w:after="0" w:before="0" w:line="100" w:lineRule="atLeast"/>
        <w:ind w:firstLine="709" w:left="0" w:right="0"/>
        <w:jc w:val="both"/>
      </w:pPr>
      <w:r>
        <w:rPr>
          <w:rFonts w:ascii="Times New Roman" w:cs="Times New Roman" w:hAnsi="Times New Roman"/>
          <w:sz w:val="28"/>
          <w:szCs w:val="28"/>
        </w:rPr>
        <w:t>Настоящая Методика применяется:</w:t>
      </w:r>
    </w:p>
    <w:p>
      <w:pPr>
        <w:pStyle w:val="style28"/>
        <w:numPr>
          <w:ilvl w:val="1"/>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Муниципальным образованием Большекитякское сельское поселение   Малмыжского района – для определения предельных объемов бюджетных ассигнований по главным распорядителям средств бюджета Мо Большекитякское сельское поселение Малмыжского района на очередной финансовый год (на очередной финансовый год и на плановый период) с учетом нормативных затрат и индексов изменения соответствующих бюджетных расходов, </w:t>
      </w:r>
    </w:p>
    <w:p>
      <w:pPr>
        <w:pStyle w:val="style28"/>
        <w:numPr>
          <w:ilvl w:val="1"/>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Главными распорядителями средств бюджета Муниципального образования Большекитякское сельское поселение  Малмыжского района  для определения объемов бюджетных ассигнований для подведомственных муниципальных учреждений – с учетом утвержденных ими порядков формирования нормативных финансовых затрат на оказание муниципальными учреждениями  муниципальных услуг (выполнение работ) в соответствии с муниципальным заданием.</w:t>
      </w:r>
    </w:p>
    <w:p>
      <w:pPr>
        <w:pStyle w:val="style28"/>
        <w:tabs>
          <w:tab w:leader="none" w:pos="1417" w:val="left"/>
          <w:tab w:leader="none" w:pos="2411" w:val="left"/>
          <w:tab w:leader="none" w:pos="2694" w:val="left"/>
        </w:tabs>
        <w:spacing w:after="0" w:before="0" w:line="100" w:lineRule="atLeast"/>
        <w:ind w:hanging="0" w:left="709" w:right="0"/>
        <w:jc w:val="both"/>
      </w:pPr>
      <w:r>
        <w:rPr/>
      </w:r>
    </w:p>
    <w:p>
      <w:pPr>
        <w:pStyle w:val="style28"/>
        <w:numPr>
          <w:ilvl w:val="0"/>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pPr>
        <w:pStyle w:val="style28"/>
        <w:tabs>
          <w:tab w:leader="none" w:pos="1417" w:val="left"/>
          <w:tab w:leader="none" w:pos="2411" w:val="left"/>
          <w:tab w:leader="none" w:pos="2694" w:val="left"/>
        </w:tabs>
        <w:spacing w:after="0" w:before="0" w:line="100" w:lineRule="atLeast"/>
        <w:ind w:hanging="0" w:left="709" w:right="0"/>
        <w:jc w:val="both"/>
      </w:pPr>
      <w:r>
        <w:rPr/>
      </w:r>
    </w:p>
    <w:p>
      <w:pPr>
        <w:pStyle w:val="style28"/>
        <w:numPr>
          <w:ilvl w:val="0"/>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Во всех приведенных ниже  формулах обозначение </w:t>
      </w:r>
      <w:r>
        <w:rPr>
          <w:rFonts w:ascii="Times New Roman" w:cs="Times New Roman" w:hAnsi="Times New Roman"/>
          <w:sz w:val="28"/>
          <w:szCs w:val="28"/>
          <w:lang w:val="en-US"/>
        </w:rPr>
        <w:t>i</w:t>
      </w:r>
      <w:r>
        <w:rPr>
          <w:rFonts w:ascii="Times New Roman" w:cs="Times New Roman" w:hAnsi="Times New Roman"/>
          <w:sz w:val="28"/>
          <w:szCs w:val="28"/>
        </w:rPr>
        <w:t xml:space="preserve"> означает  соответствующий финансовый год, на который осуществляется планирование бюджетных ассигнований, </w:t>
      </w:r>
      <w:r>
        <w:rPr>
          <w:rFonts w:ascii="Times New Roman" w:cs="Times New Roman" w:hAnsi="Times New Roman"/>
          <w:sz w:val="28"/>
          <w:szCs w:val="28"/>
          <w:lang w:val="en-US"/>
        </w:rPr>
        <w:t>j</w:t>
      </w:r>
      <w:r>
        <w:rPr>
          <w:rFonts w:ascii="Times New Roman" w:cs="Times New Roman" w:hAnsi="Times New Roman"/>
          <w:sz w:val="28"/>
          <w:szCs w:val="28"/>
        </w:rPr>
        <w:t xml:space="preserve"> – вид объемного показателя, используемого при расчетах, и </w:t>
      </w:r>
      <w:r>
        <w:rPr>
          <w:rFonts w:ascii="Times New Roman" w:cs="Times New Roman" w:hAnsi="Times New Roman"/>
          <w:sz w:val="28"/>
          <w:szCs w:val="28"/>
          <w:lang w:val="en-US"/>
        </w:rPr>
        <w:t>n</w:t>
      </w:r>
      <w:r>
        <w:rPr>
          <w:rFonts w:ascii="Times New Roman" w:cs="Times New Roman" w:hAnsi="Times New Roman"/>
          <w:sz w:val="28"/>
          <w:szCs w:val="28"/>
        </w:rPr>
        <w:t xml:space="preserve"> – количество видов объемных показателей.</w:t>
      </w:r>
    </w:p>
    <w:p>
      <w:pPr>
        <w:pStyle w:val="style0"/>
        <w:tabs>
          <w:tab w:leader="none" w:pos="708" w:val="left"/>
          <w:tab w:leader="none" w:pos="993" w:val="left"/>
          <w:tab w:leader="none" w:pos="1276" w:val="left"/>
        </w:tabs>
        <w:spacing w:after="0" w:before="0" w:line="100" w:lineRule="atLeast"/>
        <w:jc w:val="both"/>
      </w:pPr>
      <w:r>
        <w:rPr/>
      </w:r>
    </w:p>
    <w:p>
      <w:pPr>
        <w:pStyle w:val="style28"/>
        <w:numPr>
          <w:ilvl w:val="0"/>
          <w:numId w:val="3"/>
        </w:numPr>
        <w:tabs>
          <w:tab w:leader="none" w:pos="1428" w:val="left"/>
          <w:tab w:leader="none" w:pos="2433" w:val="left"/>
          <w:tab w:leader="none" w:pos="2716" w:val="left"/>
        </w:tabs>
        <w:spacing w:after="0" w:before="0" w:line="100" w:lineRule="atLeast"/>
        <w:jc w:val="center"/>
      </w:pPr>
      <w:r>
        <w:rPr>
          <w:rFonts w:ascii="Times New Roman" w:cs="Times New Roman" w:hAnsi="Times New Roman"/>
          <w:b/>
          <w:sz w:val="28"/>
          <w:szCs w:val="28"/>
        </w:rPr>
        <w:t>Планирование бюджетных ассигнований бюджета муниципального образования Большекитякское сельское поселение Малмыжского района на исполнение действующих обязательств</w:t>
      </w:r>
    </w:p>
    <w:p>
      <w:pPr>
        <w:pStyle w:val="style0"/>
        <w:tabs>
          <w:tab w:leader="none" w:pos="708" w:val="left"/>
          <w:tab w:leader="none" w:pos="993" w:val="left"/>
          <w:tab w:leader="none" w:pos="1276" w:val="left"/>
        </w:tabs>
        <w:spacing w:after="0" w:before="0" w:line="100" w:lineRule="atLeast"/>
        <w:jc w:val="center"/>
      </w:pPr>
      <w:r>
        <w:rPr/>
      </w:r>
    </w:p>
    <w:p>
      <w:pPr>
        <w:pStyle w:val="style28"/>
        <w:numPr>
          <w:ilvl w:val="0"/>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Планирование бюджетных ассигнований на оказание муниципальных услуг (выполнение работ) осуществляется по следующим направлениям:</w:t>
      </w:r>
    </w:p>
    <w:p>
      <w:pPr>
        <w:pStyle w:val="style28"/>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обеспечение выполнения функций муниципальных казенных учреждений;</w:t>
      </w:r>
    </w:p>
    <w:p>
      <w:pPr>
        <w:pStyle w:val="style28"/>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осуществление бюджетных инвестиций в объекты муниципальной собственности муниципального образования Большекитякское сельское поселение Малмыжского района </w:t>
      </w:r>
    </w:p>
    <w:p>
      <w:pPr>
        <w:pStyle w:val="style28"/>
        <w:numPr>
          <w:ilvl w:val="1"/>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Объем бюджетных ассигнований на обеспечение выполнения функций муниципальных казенных учреждений определяется:</w:t>
      </w:r>
    </w:p>
    <w:p>
      <w:pPr>
        <w:pStyle w:val="style28"/>
        <w:numPr>
          <w:ilvl w:val="2"/>
          <w:numId w:val="4"/>
        </w:numPr>
        <w:tabs>
          <w:tab w:leader="none" w:pos="0" w:val="left"/>
          <w:tab w:leader="none" w:pos="708" w:val="left"/>
          <w:tab w:leader="none" w:pos="993" w:val="left"/>
        </w:tabs>
        <w:spacing w:after="0" w:before="0" w:line="100" w:lineRule="atLeast"/>
        <w:ind w:firstLine="709" w:left="0" w:right="0"/>
        <w:jc w:val="both"/>
      </w:pPr>
      <w:r>
        <w:rPr>
          <w:rFonts w:ascii="Times New Roman" w:cs="Times New Roman" w:hAnsi="Times New Roman"/>
          <w:sz w:val="28"/>
          <w:szCs w:val="28"/>
        </w:rPr>
        <w:t>На основе нормативного метода расчета бюджетных ассигнований в случае, когда до муниципальных казенных учреждений доводится муниципальное задание, по каждой оказываемой ими муниципальной услуге (выполняемой работе) из числа включенных в Перечень муниципальных услуг (выполнения работ), по которым должен производиться учет потребности в их предоставлении (выполнении) (далее – Перечень муниципальных услуг), по следующей формуле:</w:t>
      </w:r>
    </w:p>
    <w:p>
      <w:pPr>
        <w:pStyle w:val="style28"/>
        <w:tabs>
          <w:tab w:leader="none" w:pos="1417" w:val="left"/>
          <w:tab w:leader="none" w:pos="1418" w:val="left"/>
          <w:tab w:leader="none" w:pos="2411" w:val="left"/>
        </w:tabs>
        <w:spacing w:after="0" w:before="0" w:line="100" w:lineRule="atLeast"/>
        <w:ind w:hanging="0" w:left="709" w:right="0"/>
        <w:jc w:val="both"/>
      </w:pPr>
      <w:r>
        <w:rPr/>
      </w:r>
    </w:p>
    <w:p>
      <w:pPr>
        <w:pStyle w:val="style28"/>
        <w:tabs>
          <w:tab w:leader="none" w:pos="1417" w:val="left"/>
          <w:tab w:leader="none" w:pos="1418" w:val="left"/>
          <w:tab w:leader="none" w:pos="2411" w:val="left"/>
        </w:tabs>
        <w:spacing w:after="0" w:before="0" w:line="100" w:lineRule="atLeast"/>
        <w:ind w:hanging="0" w:left="709" w:right="0"/>
        <w:jc w:val="center"/>
      </w:pPr>
      <w:r>
        <w:rPr>
          <w:rFonts w:ascii="Times New Roman" w:cs="Times New Roman" w:hAnsi="Times New Roman"/>
          <w:sz w:val="28"/>
          <w:szCs w:val="28"/>
        </w:rPr>
        <w:t xml:space="preserve">        </w:t>
      </w:r>
      <w:r>
        <w:rPr>
          <w:rFonts w:ascii="Times New Roman" w:cs="Times New Roman" w:hAnsi="Times New Roman"/>
          <w:sz w:val="28"/>
          <w:szCs w:val="28"/>
        </w:rPr>
        <w:t>(1), где:</w:t>
      </w:r>
    </w:p>
    <w:p>
      <w:pPr>
        <w:pStyle w:val="style28"/>
        <w:tabs>
          <w:tab w:leader="none" w:pos="1417" w:val="left"/>
          <w:tab w:leader="none" w:pos="1418" w:val="left"/>
          <w:tab w:leader="none" w:pos="2411" w:val="left"/>
        </w:tabs>
        <w:spacing w:after="0" w:before="0" w:line="100" w:lineRule="atLeast"/>
        <w:ind w:hanging="0" w:left="709" w:right="0"/>
        <w:jc w:val="center"/>
      </w:pPr>
      <w:r>
        <w:rPr/>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 xml:space="preserve">-ом  финансовом году на обеспечение выполнения функций муниципальных казенных учреждений, связанных с оказанием ими муниципальных услуг (выполнением работ) </w:t>
      </w:r>
      <w:r>
        <w:rPr>
          <w:rFonts w:ascii="Times New Roman" w:cs="Times New Roman" w:hAnsi="Times New Roman"/>
          <w:sz w:val="28"/>
          <w:szCs w:val="28"/>
          <w:lang w:val="en-US"/>
        </w:rPr>
        <w:t>j</w:t>
      </w:r>
      <w:r>
        <w:rPr>
          <w:rFonts w:ascii="Times New Roman" w:cs="Times New Roman" w:hAnsi="Times New Roman"/>
          <w:sz w:val="28"/>
          <w:szCs w:val="28"/>
        </w:rPr>
        <w:t>-го вида, включенной в Перечень муниципальных услуг;</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 </w:t>
      </w:r>
      <w:r>
        <w:rPr>
          <w:rFonts w:ascii="Times New Roman" w:cs="Times New Roman" w:hAnsi="Times New Roman"/>
          <w:sz w:val="28"/>
          <w:szCs w:val="28"/>
        </w:rPr>
        <w:t xml:space="preserve">нормативные затраты, связанные с оказанием муниципальной услуги (выполнением работ) </w:t>
      </w:r>
      <w:r>
        <w:rPr>
          <w:rFonts w:ascii="Times New Roman" w:cs="Times New Roman" w:hAnsi="Times New Roman"/>
          <w:sz w:val="28"/>
          <w:szCs w:val="28"/>
          <w:lang w:val="en-US"/>
        </w:rPr>
        <w:t>j</w:t>
      </w:r>
      <w:r>
        <w:rPr>
          <w:rFonts w:ascii="Times New Roman" w:cs="Times New Roman" w:hAnsi="Times New Roman"/>
          <w:sz w:val="28"/>
          <w:szCs w:val="28"/>
        </w:rPr>
        <w:t>-го вида, включенной в Перечень муниципальных услуг;</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показатель, характеризующий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объем оказываемой муниципальной услуги (выполняемой работе), утвержденный постановлением администрации Большекитякского сельского поселения;</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 </w:t>
      </w:r>
      <w:r>
        <w:rPr>
          <w:rFonts w:ascii="Times New Roman" w:cs="Times New Roman" w:hAnsi="Times New Roman"/>
          <w:sz w:val="28"/>
          <w:szCs w:val="28"/>
        </w:rPr>
        <w:t xml:space="preserve">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оплату коммунальных услуг муниципальных казенных учреждений, рассчитываемые по формуле 5 (6) настоящей Методики;</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представленными в финансовое управление администрации Малмыжского района отделом по управлению муниципальным имуществом и земельными ресурсами администрации Малмыжского района.</w:t>
      </w:r>
    </w:p>
    <w:p>
      <w:pPr>
        <w:pStyle w:val="style28"/>
        <w:tabs>
          <w:tab w:leader="none" w:pos="0" w:val="left"/>
          <w:tab w:leader="none" w:pos="708" w:val="left"/>
          <w:tab w:leader="none" w:pos="993" w:val="left"/>
        </w:tabs>
        <w:spacing w:after="0" w:before="0" w:line="100" w:lineRule="atLeast"/>
        <w:ind w:hanging="0" w:left="0" w:right="0"/>
        <w:jc w:val="both"/>
      </w:pPr>
      <w:r>
        <w:rPr/>
      </w:r>
    </w:p>
    <w:p>
      <w:pPr>
        <w:pStyle w:val="style28"/>
        <w:numPr>
          <w:ilvl w:val="2"/>
          <w:numId w:val="4"/>
        </w:numPr>
        <w:tabs>
          <w:tab w:leader="none" w:pos="0" w:val="left"/>
          <w:tab w:leader="none" w:pos="708" w:val="left"/>
          <w:tab w:leader="none" w:pos="993" w:val="left"/>
        </w:tabs>
        <w:spacing w:after="0" w:before="0" w:line="100" w:lineRule="atLeast"/>
        <w:ind w:firstLine="709" w:left="0" w:right="0"/>
        <w:jc w:val="both"/>
      </w:pPr>
      <w:r>
        <w:rPr>
          <w:rFonts w:ascii="Times New Roman" w:cs="Times New Roman" w:hAnsi="Times New Roman"/>
          <w:sz w:val="28"/>
          <w:szCs w:val="28"/>
        </w:rPr>
        <w:t>На основе метода индексации расчета бюджетных ассигнований в случае, когда до муниципальных казенных учреждений муниципальное задание не доводится, по следующей формуле:</w:t>
      </w:r>
    </w:p>
    <w:p>
      <w:pPr>
        <w:pStyle w:val="style28"/>
        <w:tabs>
          <w:tab w:leader="none" w:pos="1417" w:val="left"/>
          <w:tab w:leader="none" w:pos="1418" w:val="left"/>
          <w:tab w:leader="none" w:pos="2411" w:val="left"/>
        </w:tabs>
        <w:spacing w:after="0" w:before="0" w:line="100" w:lineRule="atLeast"/>
        <w:ind w:hanging="0" w:left="709" w:right="0"/>
        <w:jc w:val="both"/>
      </w:pPr>
      <w:r>
        <w:rPr/>
      </w:r>
    </w:p>
    <w:p>
      <w:pPr>
        <w:pStyle w:val="style28"/>
        <w:tabs>
          <w:tab w:leader="none" w:pos="1417" w:val="left"/>
          <w:tab w:leader="none" w:pos="1418" w:val="left"/>
          <w:tab w:leader="none" w:pos="2411" w:val="left"/>
        </w:tabs>
        <w:spacing w:after="0" w:before="0" w:line="100" w:lineRule="atLeast"/>
        <w:ind w:hanging="0" w:left="709" w:right="0"/>
        <w:jc w:val="center"/>
      </w:pPr>
      <w:r>
        <w:rPr>
          <w:rFonts w:ascii="Times New Roman" w:cs="Times New Roman" w:hAnsi="Times New Roman"/>
          <w:i/>
          <w:sz w:val="28"/>
          <w:szCs w:val="28"/>
        </w:rPr>
        <w:t xml:space="preserve"> </w:t>
      </w:r>
      <w:r>
        <w:rPr>
          <w:rFonts w:ascii="Times New Roman" w:cs="Times New Roman" w:hAnsi="Times New Roman"/>
          <w:sz w:val="28"/>
          <w:szCs w:val="28"/>
        </w:rPr>
        <w:t>(2), где:</w:t>
      </w:r>
    </w:p>
    <w:p>
      <w:pPr>
        <w:pStyle w:val="style28"/>
        <w:tabs>
          <w:tab w:leader="none" w:pos="1417" w:val="left"/>
          <w:tab w:leader="none" w:pos="1418" w:val="left"/>
          <w:tab w:leader="none" w:pos="2411" w:val="left"/>
        </w:tabs>
        <w:spacing w:after="0" w:before="0" w:line="100" w:lineRule="atLeast"/>
        <w:ind w:hanging="0" w:left="709" w:right="0"/>
        <w:jc w:val="both"/>
      </w:pPr>
      <w:r>
        <w:rPr/>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 </w:t>
      </w:r>
      <w:r>
        <w:rPr>
          <w:rFonts w:ascii="Times New Roman" w:cs="Times New Roman" w:hAnsi="Times New Roman"/>
          <w:sz w:val="28"/>
          <w:szCs w:val="28"/>
        </w:rPr>
        <w:t xml:space="preserve">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обеспечение выполнения функций муниципальных казенных учреждений;</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оплату труда работников муниципальных казенных учреждений, рассчитываемые по следующей формуле:</w:t>
      </w:r>
    </w:p>
    <w:p>
      <w:pPr>
        <w:pStyle w:val="style28"/>
        <w:tabs>
          <w:tab w:leader="none" w:pos="0" w:val="left"/>
          <w:tab w:leader="none" w:pos="708" w:val="left"/>
          <w:tab w:leader="none" w:pos="993" w:val="left"/>
        </w:tabs>
        <w:spacing w:after="0" w:before="0" w:line="100" w:lineRule="atLeast"/>
        <w:ind w:hanging="0" w:left="0" w:right="0"/>
        <w:jc w:val="both"/>
      </w:pPr>
      <w:r>
        <w:rPr/>
      </w:r>
    </w:p>
    <w:p>
      <w:pPr>
        <w:pStyle w:val="style28"/>
        <w:tabs>
          <w:tab w:leader="none" w:pos="0" w:val="left"/>
          <w:tab w:leader="none" w:pos="708" w:val="left"/>
          <w:tab w:leader="none" w:pos="993" w:val="left"/>
        </w:tabs>
        <w:spacing w:after="0" w:before="0" w:line="100" w:lineRule="atLeast"/>
        <w:ind w:hanging="0" w:left="0" w:right="0"/>
        <w:jc w:val="center"/>
      </w:pPr>
      <w:r>
        <w:rPr>
          <w:rFonts w:ascii="Times New Roman" w:cs="Times New Roman" w:hAnsi="Times New Roman"/>
          <w:i/>
          <w:sz w:val="28"/>
          <w:szCs w:val="28"/>
        </w:rPr>
        <w:t xml:space="preserve"> </w:t>
      </w:r>
      <w:r>
        <w:rPr>
          <w:rFonts w:ascii="Times New Roman" w:cs="Times New Roman" w:hAnsi="Times New Roman"/>
          <w:sz w:val="28"/>
          <w:szCs w:val="28"/>
        </w:rPr>
        <w:t xml:space="preserve"> </w:t>
      </w:r>
      <w:r>
        <w:rPr>
          <w:rFonts w:ascii="Times New Roman" w:cs="Times New Roman" w:hAnsi="Times New Roman"/>
          <w:sz w:val="28"/>
          <w:szCs w:val="28"/>
        </w:rPr>
        <w:t>(3), где:</w:t>
      </w:r>
    </w:p>
    <w:p>
      <w:pPr>
        <w:pStyle w:val="style28"/>
        <w:tabs>
          <w:tab w:leader="none" w:pos="0" w:val="left"/>
          <w:tab w:leader="none" w:pos="708" w:val="left"/>
          <w:tab w:leader="none" w:pos="993" w:val="left"/>
        </w:tabs>
        <w:spacing w:after="0" w:before="0" w:line="100" w:lineRule="atLeast"/>
        <w:ind w:hanging="0" w:left="0" w:right="0"/>
        <w:jc w:val="center"/>
      </w:pPr>
      <w:r>
        <w:rPr/>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плановый фонд оплаты труда работников муниципальных казенных учреждений на текущий год;</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среднегодовой коэффициент индексации фонда оплаты труда работников муниципальных казенных учреждений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исходя из сроков и размеров повышения фонда оплаты работников, и применяемые в случае принятия Правительством области соответствующего решения;</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рассчитываемые по следующей формуле:</w:t>
      </w:r>
    </w:p>
    <w:p>
      <w:pPr>
        <w:pStyle w:val="style28"/>
        <w:tabs>
          <w:tab w:leader="none" w:pos="0" w:val="left"/>
          <w:tab w:leader="none" w:pos="708" w:val="left"/>
          <w:tab w:leader="none" w:pos="993" w:val="left"/>
        </w:tabs>
        <w:spacing w:after="0" w:before="0" w:line="100" w:lineRule="atLeast"/>
        <w:ind w:hanging="0" w:left="0" w:right="0"/>
        <w:jc w:val="center"/>
      </w:pPr>
      <w:r>
        <w:rPr>
          <w:rFonts w:ascii="Times New Roman" w:cs="Times New Roman" w:hAnsi="Times New Roman"/>
          <w:sz w:val="28"/>
          <w:szCs w:val="28"/>
        </w:rPr>
        <w:t xml:space="preserve">   </w:t>
      </w:r>
      <w:r>
        <w:rPr>
          <w:rFonts w:ascii="Times New Roman" w:cs="Times New Roman" w:hAnsi="Times New Roman"/>
          <w:sz w:val="28"/>
          <w:szCs w:val="28"/>
        </w:rPr>
        <w:t>(4), где:</w:t>
      </w:r>
    </w:p>
    <w:p>
      <w:pPr>
        <w:pStyle w:val="style28"/>
        <w:tabs>
          <w:tab w:leader="none" w:pos="0" w:val="left"/>
          <w:tab w:leader="none" w:pos="708" w:val="left"/>
          <w:tab w:leader="none" w:pos="993" w:val="left"/>
        </w:tabs>
        <w:spacing w:after="0" w:before="0" w:line="100" w:lineRule="atLeast"/>
        <w:ind w:hanging="0" w:left="0" w:right="0"/>
        <w:jc w:val="both"/>
      </w:pPr>
      <w:r>
        <w:rPr/>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оплату труда работников муниципальных казенных учреждений, рассчитанные по формуле 3 настоящей Методики;</w:t>
      </w:r>
    </w:p>
    <w:p>
      <w:pPr>
        <w:pStyle w:val="style28"/>
        <w:tabs>
          <w:tab w:leader="none" w:pos="0" w:val="left"/>
          <w:tab w:leader="none" w:pos="708" w:val="left"/>
          <w:tab w:leader="none" w:pos="993" w:val="left"/>
        </w:tabs>
        <w:spacing w:after="0" w:before="0" w:line="100" w:lineRule="atLeast"/>
        <w:ind w:hanging="0" w:left="0" w:right="0"/>
        <w:jc w:val="both"/>
      </w:pPr>
      <w:r>
        <w:rPr>
          <w:rFonts w:ascii="Times New Roman" w:cs="Times New Roman" w:hAnsi="Times New Roman"/>
          <w:sz w:val="24"/>
          <w:szCs w:val="24"/>
        </w:rPr>
        <w:t>Т</w:t>
      </w:r>
      <w:r>
        <w:rPr>
          <w:rFonts w:ascii="Times New Roman" w:cs="Times New Roman" w:hAnsi="Times New Roman"/>
          <w:sz w:val="28"/>
          <w:szCs w:val="28"/>
        </w:rPr>
        <w:t xml:space="preserve"> – тарифы страховых взносов (страховые тарифы), установленные соответствующими федеральными законами;</w:t>
      </w:r>
    </w:p>
    <w:p>
      <w:pPr>
        <w:pStyle w:val="style28"/>
        <w:tabs>
          <w:tab w:leader="none" w:pos="0" w:val="left"/>
          <w:tab w:leader="none" w:pos="708" w:val="left"/>
          <w:tab w:leader="none" w:pos="993" w:val="left"/>
        </w:tabs>
        <w:spacing w:after="0" w:before="0" w:line="100" w:lineRule="atLeast"/>
        <w:ind w:hanging="0" w:left="0" w:right="0"/>
        <w:jc w:val="both"/>
      </w:pPr>
      <w:r>
        <w:rPr/>
      </w:r>
    </w:p>
    <w:p>
      <w:pPr>
        <w:pStyle w:val="style28"/>
        <w:tabs>
          <w:tab w:leader="none" w:pos="708" w:val="left"/>
          <w:tab w:leader="none" w:pos="993" w:val="left"/>
          <w:tab w:leader="none" w:pos="1276" w:val="left"/>
        </w:tabs>
        <w:spacing w:after="0" w:before="0" w:line="100" w:lineRule="atLeast"/>
        <w:ind w:hanging="0" w:left="0" w:right="0"/>
        <w:jc w:val="both"/>
      </w:pPr>
      <w:r>
        <w:rPr>
          <w:rFonts w:ascii="Times New Roman" w:cs="Times New Roman" w:hAnsi="Times New Roman"/>
          <w:sz w:val="28"/>
          <w:szCs w:val="28"/>
        </w:rPr>
        <w:t xml:space="preserve"> – </w:t>
      </w:r>
      <w:r>
        <w:rPr>
          <w:rFonts w:ascii="Times New Roman" w:cs="Times New Roman" w:hAnsi="Times New Roman"/>
          <w:sz w:val="28"/>
          <w:szCs w:val="28"/>
        </w:rPr>
        <w:t xml:space="preserve">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оплату  коммунальных услуг муниципальных казенных учреждений, рассчитываемые по следующим формулам:</w:t>
      </w:r>
    </w:p>
    <w:p>
      <w:pPr>
        <w:pStyle w:val="style28"/>
        <w:tabs>
          <w:tab w:leader="none" w:pos="708" w:val="left"/>
          <w:tab w:leader="none" w:pos="993" w:val="left"/>
          <w:tab w:leader="none" w:pos="1276" w:val="left"/>
        </w:tabs>
        <w:spacing w:after="0" w:before="0" w:line="100" w:lineRule="atLeast"/>
        <w:ind w:hanging="0" w:left="0" w:right="0"/>
        <w:jc w:val="both"/>
      </w:pPr>
      <w:r>
        <w:rPr/>
      </w:r>
    </w:p>
    <w:p>
      <w:pPr>
        <w:pStyle w:val="style28"/>
        <w:numPr>
          <w:ilvl w:val="0"/>
          <w:numId w:val="5"/>
        </w:numPr>
        <w:tabs>
          <w:tab w:leader="none" w:pos="1428" w:val="left"/>
          <w:tab w:leader="none" w:pos="2433" w:val="left"/>
          <w:tab w:leader="none" w:pos="2716" w:val="left"/>
        </w:tabs>
        <w:spacing w:after="0" w:before="0" w:line="100" w:lineRule="atLeast"/>
        <w:jc w:val="both"/>
      </w:pPr>
      <w:r>
        <w:rPr>
          <w:rFonts w:ascii="Times New Roman" w:cs="Times New Roman" w:hAnsi="Times New Roman"/>
          <w:sz w:val="28"/>
          <w:szCs w:val="28"/>
        </w:rPr>
        <w:t>при наличии у муниципальных казенных учреждений приборов учета:</w:t>
      </w:r>
    </w:p>
    <w:p>
      <w:pPr>
        <w:pStyle w:val="style28"/>
        <w:tabs>
          <w:tab w:leader="none" w:pos="1428" w:val="left"/>
          <w:tab w:leader="none" w:pos="2433" w:val="left"/>
          <w:tab w:leader="none" w:pos="2716" w:val="left"/>
        </w:tabs>
        <w:spacing w:after="0" w:before="0" w:line="100" w:lineRule="atLeast"/>
        <w:jc w:val="both"/>
      </w:pPr>
      <w:r>
        <w:rPr/>
      </w:r>
    </w:p>
    <w:p>
      <w:pPr>
        <w:pStyle w:val="style28"/>
        <w:tabs>
          <w:tab w:leader="none" w:pos="1428" w:val="left"/>
          <w:tab w:leader="none" w:pos="2433" w:val="left"/>
          <w:tab w:leader="none" w:pos="2716" w:val="left"/>
        </w:tabs>
        <w:spacing w:after="0" w:before="0" w:line="100" w:lineRule="atLeast"/>
        <w:jc w:val="center"/>
      </w:pPr>
      <w:r>
        <w:rPr>
          <w:rFonts w:ascii="Times New Roman" w:cs="Times New Roman" w:hAnsi="Times New Roman"/>
          <w:sz w:val="28"/>
          <w:szCs w:val="28"/>
        </w:rPr>
        <w:t xml:space="preserve"> </w:t>
      </w:r>
      <w:r>
        <w:rPr>
          <w:rFonts w:ascii="Times New Roman" w:cs="Times New Roman" w:hAnsi="Times New Roman"/>
          <w:sz w:val="28"/>
          <w:szCs w:val="28"/>
        </w:rPr>
        <w:t>(5), где:</w:t>
      </w:r>
    </w:p>
    <w:p>
      <w:pPr>
        <w:pStyle w:val="style28"/>
        <w:tabs>
          <w:tab w:leader="none" w:pos="1428" w:val="left"/>
          <w:tab w:leader="none" w:pos="2433" w:val="left"/>
          <w:tab w:leader="none" w:pos="2716" w:val="left"/>
        </w:tabs>
        <w:spacing w:after="0" w:before="0" w:line="100" w:lineRule="atLeast"/>
        <w:jc w:val="center"/>
      </w:pPr>
      <w:r>
        <w:rPr/>
      </w:r>
    </w:p>
    <w:p>
      <w:pPr>
        <w:pStyle w:val="style0"/>
        <w:tabs>
          <w:tab w:leader="none" w:pos="708" w:val="left"/>
          <w:tab w:leader="none" w:pos="993"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объем фактически потребленных муниципальными казенными учреждениями ресурсов </w:t>
      </w:r>
      <w:r>
        <w:rPr>
          <w:rFonts w:ascii="Times New Roman" w:cs="Times New Roman" w:hAnsi="Times New Roman"/>
          <w:sz w:val="28"/>
          <w:szCs w:val="28"/>
          <w:lang w:val="en-US"/>
        </w:rPr>
        <w:t>j</w:t>
      </w:r>
      <w:r>
        <w:rPr>
          <w:rFonts w:ascii="Times New Roman" w:cs="Times New Roman" w:hAnsi="Times New Roman"/>
          <w:sz w:val="28"/>
          <w:szCs w:val="28"/>
        </w:rPr>
        <w:t>-го вида в отчетном году;</w:t>
      </w:r>
    </w:p>
    <w:p>
      <w:pPr>
        <w:pStyle w:val="style0"/>
        <w:tabs>
          <w:tab w:leader="none" w:pos="708" w:val="left"/>
          <w:tab w:leader="none" w:pos="993"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тариф (цена) на ресурс </w:t>
      </w:r>
      <w:r>
        <w:rPr>
          <w:rFonts w:ascii="Times New Roman" w:cs="Times New Roman" w:hAnsi="Times New Roman"/>
          <w:sz w:val="28"/>
          <w:szCs w:val="28"/>
          <w:lang w:val="en-US"/>
        </w:rPr>
        <w:t>j</w:t>
      </w:r>
      <w:r>
        <w:rPr>
          <w:rFonts w:ascii="Times New Roman" w:cs="Times New Roman" w:hAnsi="Times New Roman"/>
          <w:sz w:val="28"/>
          <w:szCs w:val="28"/>
        </w:rPr>
        <w:t>-го вида (с учетом налога на добавленную стоимость) в текущем финансовом году;</w:t>
      </w:r>
    </w:p>
    <w:p>
      <w:pPr>
        <w:pStyle w:val="style0"/>
        <w:tabs>
          <w:tab w:leader="none" w:pos="708" w:val="left"/>
          <w:tab w:leader="none" w:pos="993"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среднегодовой индекс изменения тарифов (цен) на ресурс </w:t>
      </w:r>
      <w:r>
        <w:rPr>
          <w:rFonts w:ascii="Times New Roman" w:cs="Times New Roman" w:hAnsi="Times New Roman"/>
          <w:sz w:val="28"/>
          <w:szCs w:val="28"/>
          <w:lang w:val="en-US"/>
        </w:rPr>
        <w:t>j</w:t>
      </w:r>
      <w:r>
        <w:rPr>
          <w:rFonts w:ascii="Times New Roman" w:cs="Times New Roman" w:hAnsi="Times New Roman"/>
          <w:sz w:val="28"/>
          <w:szCs w:val="28"/>
        </w:rPr>
        <w:t xml:space="preserve">-го вида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w:t>
      </w:r>
    </w:p>
    <w:p>
      <w:pPr>
        <w:pStyle w:val="style0"/>
        <w:tabs>
          <w:tab w:leader="none" w:pos="708" w:val="left"/>
          <w:tab w:leader="none" w:pos="993" w:val="left"/>
          <w:tab w:leader="none" w:pos="1276" w:val="left"/>
        </w:tabs>
        <w:spacing w:after="0" w:before="0" w:line="100" w:lineRule="atLeast"/>
        <w:jc w:val="both"/>
      </w:pPr>
      <w:r>
        <w:rPr/>
      </w:r>
    </w:p>
    <w:p>
      <w:pPr>
        <w:pStyle w:val="style28"/>
        <w:numPr>
          <w:ilvl w:val="0"/>
          <w:numId w:val="5"/>
        </w:numPr>
        <w:tabs>
          <w:tab w:leader="none" w:pos="708" w:val="left"/>
          <w:tab w:leader="none" w:pos="709" w:val="left"/>
          <w:tab w:leader="none" w:pos="1276" w:val="left"/>
        </w:tabs>
        <w:spacing w:after="0" w:before="0" w:line="100" w:lineRule="atLeast"/>
        <w:ind w:firstLine="360" w:left="0" w:right="0"/>
        <w:jc w:val="both"/>
      </w:pPr>
      <w:r>
        <w:rPr>
          <w:rFonts w:ascii="Times New Roman" w:cs="Times New Roman" w:hAnsi="Times New Roman"/>
          <w:sz w:val="28"/>
          <w:szCs w:val="28"/>
        </w:rPr>
        <w:t>при отсутствии у муниципальных казенных учреждений приборов учета:</w:t>
      </w:r>
    </w:p>
    <w:p>
      <w:pPr>
        <w:pStyle w:val="style28"/>
        <w:tabs>
          <w:tab w:leader="none" w:pos="1068" w:val="left"/>
          <w:tab w:leader="none" w:pos="1429" w:val="left"/>
          <w:tab w:leader="none" w:pos="1996" w:val="left"/>
        </w:tabs>
        <w:spacing w:after="0" w:before="0" w:line="100" w:lineRule="atLeast"/>
        <w:ind w:hanging="0" w:left="360" w:right="0"/>
        <w:jc w:val="center"/>
      </w:pPr>
      <w:r>
        <w:rPr>
          <w:rFonts w:ascii="Times New Roman" w:cs="Times New Roman" w:hAnsi="Times New Roman"/>
          <w:sz w:val="28"/>
          <w:szCs w:val="28"/>
        </w:rPr>
        <w:t xml:space="preserve"> </w:t>
      </w:r>
      <w:r>
        <w:rPr>
          <w:rFonts w:ascii="Times New Roman" w:cs="Times New Roman" w:hAnsi="Times New Roman"/>
          <w:sz w:val="28"/>
          <w:szCs w:val="28"/>
        </w:rPr>
        <w:t>(6), где:</w:t>
      </w:r>
    </w:p>
    <w:p>
      <w:pPr>
        <w:pStyle w:val="style28"/>
        <w:tabs>
          <w:tab w:leader="none" w:pos="1068" w:val="left"/>
          <w:tab w:leader="none" w:pos="1429" w:val="left"/>
          <w:tab w:leader="none" w:pos="1996" w:val="left"/>
        </w:tabs>
        <w:spacing w:after="0" w:before="0" w:line="100" w:lineRule="atLeast"/>
        <w:ind w:hanging="0" w:left="360" w:right="0"/>
        <w:jc w:val="center"/>
      </w:pPr>
      <w:r>
        <w:rPr/>
      </w:r>
    </w:p>
    <w:p>
      <w:pPr>
        <w:pStyle w:val="style0"/>
        <w:tabs>
          <w:tab w:leader="none" w:pos="708" w:val="left"/>
          <w:tab w:leader="none" w:pos="709"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на оплату ресурса </w:t>
      </w:r>
      <w:r>
        <w:rPr>
          <w:rFonts w:ascii="Times New Roman" w:cs="Times New Roman" w:hAnsi="Times New Roman"/>
          <w:sz w:val="28"/>
          <w:szCs w:val="28"/>
          <w:lang w:val="en-US"/>
        </w:rPr>
        <w:t>j</w:t>
      </w:r>
      <w:r>
        <w:rPr>
          <w:rFonts w:ascii="Times New Roman" w:cs="Times New Roman" w:hAnsi="Times New Roman"/>
          <w:sz w:val="28"/>
          <w:szCs w:val="28"/>
        </w:rPr>
        <w:t>-го вида в текущем году;</w:t>
      </w:r>
    </w:p>
    <w:p>
      <w:pPr>
        <w:pStyle w:val="style0"/>
        <w:tabs>
          <w:tab w:leader="none" w:pos="708" w:val="left"/>
          <w:tab w:leader="none" w:pos="709"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среднегодовой индекс изменения тарифов (цен) на ресурс </w:t>
      </w:r>
      <w:r>
        <w:rPr>
          <w:rFonts w:ascii="Times New Roman" w:cs="Times New Roman" w:hAnsi="Times New Roman"/>
          <w:sz w:val="28"/>
          <w:szCs w:val="28"/>
          <w:lang w:val="en-US"/>
        </w:rPr>
        <w:t>j</w:t>
      </w:r>
      <w:r>
        <w:rPr>
          <w:rFonts w:ascii="Times New Roman" w:cs="Times New Roman" w:hAnsi="Times New Roman"/>
          <w:sz w:val="28"/>
          <w:szCs w:val="28"/>
        </w:rPr>
        <w:t xml:space="preserve">-го вида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рассчитываемый  администрацией Большекитякского сельского поселения Малмыжского района, исходя из сроков и размеров повышения тарифов (цен);</w:t>
      </w:r>
    </w:p>
    <w:p>
      <w:pPr>
        <w:pStyle w:val="style0"/>
        <w:tabs>
          <w:tab w:leader="none" w:pos="708" w:val="left"/>
          <w:tab w:leader="none" w:pos="709" w:val="left"/>
          <w:tab w:leader="none" w:pos="1276" w:val="left"/>
        </w:tabs>
        <w:spacing w:after="0" w:before="0" w:line="100" w:lineRule="atLeast"/>
        <w:jc w:val="both"/>
      </w:pPr>
      <w:r>
        <w:rPr/>
      </w:r>
    </w:p>
    <w:p>
      <w:pPr>
        <w:pStyle w:val="style0"/>
        <w:tabs>
          <w:tab w:leader="none" w:pos="708" w:val="left"/>
          <w:tab w:leader="none" w:pos="709"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муниципальных  казенных учреждений на оплату поставок товаров, выполнения работ, оказания услуг для муниципальных нужд  муниципального образования Большекитякское сельское поселения Малмыжского района (за исключением бюджетных ассигнований на оплату коммунальных услуг), рассчитываемые по следующей формуле:</w:t>
      </w:r>
    </w:p>
    <w:p>
      <w:pPr>
        <w:pStyle w:val="style0"/>
        <w:tabs>
          <w:tab w:leader="none" w:pos="708" w:val="left"/>
          <w:tab w:leader="none" w:pos="709" w:val="left"/>
          <w:tab w:leader="none" w:pos="1276" w:val="left"/>
        </w:tabs>
        <w:spacing w:after="0" w:before="0" w:line="100" w:lineRule="atLeast"/>
        <w:jc w:val="both"/>
      </w:pPr>
      <w:r>
        <w:rPr/>
      </w:r>
    </w:p>
    <w:p>
      <w:pPr>
        <w:pStyle w:val="style0"/>
        <w:tabs>
          <w:tab w:leader="none" w:pos="708" w:val="left"/>
          <w:tab w:leader="none" w:pos="709" w:val="left"/>
          <w:tab w:leader="none" w:pos="1276" w:val="left"/>
        </w:tabs>
        <w:spacing w:after="0" w:before="0" w:line="100" w:lineRule="atLeast"/>
        <w:jc w:val="center"/>
      </w:pPr>
      <w:r>
        <w:rPr>
          <w:rFonts w:ascii="Times New Roman" w:cs="Times New Roman" w:hAnsi="Times New Roman"/>
          <w:sz w:val="28"/>
          <w:szCs w:val="28"/>
        </w:rPr>
        <w:t xml:space="preserve"> </w:t>
      </w:r>
      <w:r>
        <w:rPr>
          <w:rFonts w:ascii="Times New Roman" w:cs="Times New Roman" w:hAnsi="Times New Roman"/>
          <w:sz w:val="28"/>
          <w:szCs w:val="28"/>
        </w:rPr>
        <w:t>(7), где:</w:t>
      </w:r>
    </w:p>
    <w:p>
      <w:pPr>
        <w:pStyle w:val="style0"/>
        <w:tabs>
          <w:tab w:leader="none" w:pos="708" w:val="left"/>
          <w:tab w:leader="none" w:pos="709"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бюджетные ассигнования в текущем финансовом году муниципальных казенных учреждений на оплату поставок товаров, выполнения работ, оказания услуг для муниципальных нужд  муниципального образования  Большекитякское  сельское поселения Малмыжского района (за  исключением бюджетных ассигнований на оплату коммунальных услуг);</w:t>
      </w:r>
    </w:p>
    <w:p>
      <w:pPr>
        <w:pStyle w:val="style0"/>
        <w:tabs>
          <w:tab w:leader="none" w:pos="708" w:val="left"/>
          <w:tab w:leader="none" w:pos="993" w:val="left"/>
          <w:tab w:leader="none" w:pos="1276" w:val="left"/>
        </w:tabs>
        <w:spacing w:after="0" w:before="0" w:line="100" w:lineRule="atLeast"/>
        <w:jc w:val="both"/>
      </w:pPr>
      <w:r>
        <w:rPr/>
      </w:r>
    </w:p>
    <w:p>
      <w:pPr>
        <w:pStyle w:val="style0"/>
        <w:tabs>
          <w:tab w:leader="none" w:pos="708" w:val="left"/>
          <w:tab w:leader="none" w:pos="993"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представленными в  администрации МО Большекитякское сельское поселение Малмыжского района отделом по управлению муниципальным имуществом и земельными ресурсами администрации Малмыжского района.</w:t>
      </w:r>
    </w:p>
    <w:p>
      <w:pPr>
        <w:pStyle w:val="style0"/>
        <w:tabs>
          <w:tab w:leader="none" w:pos="708" w:val="left"/>
          <w:tab w:leader="none" w:pos="993" w:val="left"/>
          <w:tab w:leader="none" w:pos="1276" w:val="left"/>
        </w:tabs>
        <w:spacing w:after="0" w:before="0" w:line="100" w:lineRule="atLeast"/>
        <w:jc w:val="both"/>
      </w:pPr>
      <w:r>
        <w:rPr/>
      </w:r>
    </w:p>
    <w:p>
      <w:pPr>
        <w:pStyle w:val="style28"/>
        <w:numPr>
          <w:ilvl w:val="2"/>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color w:val="000000"/>
          <w:sz w:val="28"/>
          <w:szCs w:val="28"/>
        </w:rPr>
        <w:t>На основе нормативного метода расчета бюджетных ассигнований для финансового обеспечения выполнения функций органов местного самоуправления муниципального образования Большекитякское сельское поселение Малмыжского района по каждому органу по следующей формуле:</w:t>
      </w:r>
    </w:p>
    <w:p>
      <w:pPr>
        <w:pStyle w:val="style28"/>
        <w:tabs>
          <w:tab w:leader="none" w:pos="1417" w:val="left"/>
          <w:tab w:leader="none" w:pos="2411" w:val="left"/>
          <w:tab w:leader="none" w:pos="2694" w:val="left"/>
        </w:tabs>
        <w:spacing w:after="0" w:before="0" w:line="100" w:lineRule="atLeast"/>
        <w:ind w:hanging="0" w:left="709" w:right="0"/>
        <w:jc w:val="both"/>
      </w:pPr>
      <w:r>
        <w:rPr/>
      </w:r>
    </w:p>
    <w:p>
      <w:pPr>
        <w:pStyle w:val="style28"/>
        <w:tabs>
          <w:tab w:leader="none" w:pos="1417" w:val="left"/>
          <w:tab w:leader="none" w:pos="2411" w:val="left"/>
          <w:tab w:leader="none" w:pos="2694" w:val="left"/>
        </w:tabs>
        <w:spacing w:after="0" w:before="0" w:line="100" w:lineRule="atLeast"/>
        <w:ind w:hanging="0" w:left="709" w:right="0"/>
        <w:jc w:val="center"/>
      </w:pPr>
      <w:r>
        <w:rPr>
          <w:rFonts w:ascii="Times New Roman" w:cs="Times New Roman" w:hAnsi="Times New Roman"/>
          <w:sz w:val="28"/>
          <w:szCs w:val="28"/>
        </w:rPr>
        <w:t xml:space="preserve">   </w:t>
      </w:r>
      <w:r>
        <w:rPr>
          <w:rFonts w:ascii="Times New Roman" w:cs="Times New Roman" w:hAnsi="Times New Roman"/>
          <w:sz w:val="28"/>
          <w:szCs w:val="28"/>
        </w:rPr>
        <w:t>(8), где:</w:t>
      </w:r>
    </w:p>
    <w:p>
      <w:pPr>
        <w:pStyle w:val="style28"/>
        <w:tabs>
          <w:tab w:leader="none" w:pos="708" w:val="left"/>
          <w:tab w:leader="none" w:pos="993" w:val="left"/>
          <w:tab w:leader="none" w:pos="1276" w:val="left"/>
        </w:tabs>
        <w:spacing w:after="0" w:before="0" w:line="100" w:lineRule="atLeast"/>
        <w:ind w:hanging="0" w:left="0" w:right="0"/>
        <w:jc w:val="both"/>
      </w:pPr>
      <w:r>
        <w:rPr/>
      </w:r>
    </w:p>
    <w:p>
      <w:pPr>
        <w:pStyle w:val="style28"/>
        <w:tabs>
          <w:tab w:leader="none" w:pos="708" w:val="left"/>
          <w:tab w:leader="none" w:pos="993" w:val="left"/>
          <w:tab w:leader="none" w:pos="1276" w:val="left"/>
        </w:tabs>
        <w:spacing w:after="0" w:before="0" w:line="100" w:lineRule="atLeast"/>
        <w:ind w:hanging="0" w:left="0" w:right="0"/>
        <w:jc w:val="both"/>
      </w:pPr>
      <w:r>
        <w:rPr>
          <w:rFonts w:ascii="Times New Roman" w:cs="Times New Roman" w:hAnsi="Times New Roman"/>
          <w:sz w:val="28"/>
          <w:szCs w:val="28"/>
        </w:rPr>
        <w:t xml:space="preserve"> – </w:t>
      </w:r>
      <w:r>
        <w:rPr>
          <w:rFonts w:ascii="Times New Roman" w:cs="Times New Roman" w:hAnsi="Times New Roman"/>
          <w:sz w:val="28"/>
          <w:szCs w:val="28"/>
        </w:rPr>
        <w:t xml:space="preserve">бюджетные ассигнования в </w:t>
      </w:r>
      <w:r>
        <w:rPr>
          <w:rFonts w:ascii="Times New Roman" w:cs="Times New Roman" w:hAnsi="Times New Roman"/>
          <w:sz w:val="28"/>
          <w:szCs w:val="28"/>
          <w:lang w:val="en-US"/>
        </w:rPr>
        <w:t>i</w:t>
      </w:r>
      <w:r>
        <w:rPr>
          <w:rFonts w:ascii="Times New Roman" w:cs="Times New Roman" w:hAnsi="Times New Roman"/>
          <w:sz w:val="28"/>
          <w:szCs w:val="28"/>
        </w:rPr>
        <w:t xml:space="preserve">-ом финансовом году на финансовое обеспечение выполнения функций органов местного самоуправления  по </w:t>
      </w:r>
      <w:r>
        <w:rPr>
          <w:rFonts w:ascii="Times New Roman" w:cs="Times New Roman" w:hAnsi="Times New Roman"/>
          <w:sz w:val="28"/>
          <w:szCs w:val="28"/>
          <w:lang w:val="en-US"/>
        </w:rPr>
        <w:t>j</w:t>
      </w:r>
      <w:r>
        <w:rPr>
          <w:rFonts w:ascii="Times New Roman" w:cs="Times New Roman" w:hAnsi="Times New Roman"/>
          <w:sz w:val="28"/>
          <w:szCs w:val="28"/>
        </w:rPr>
        <w:t>-му органу;</w:t>
      </w:r>
    </w:p>
    <w:p>
      <w:pPr>
        <w:pStyle w:val="style28"/>
        <w:tabs>
          <w:tab w:leader="none" w:pos="708" w:val="left"/>
          <w:tab w:leader="none" w:pos="993" w:val="left"/>
          <w:tab w:leader="none" w:pos="1276" w:val="left"/>
        </w:tabs>
        <w:spacing w:after="0" w:before="0" w:line="100" w:lineRule="atLeast"/>
        <w:ind w:hanging="0" w:left="0" w:right="0"/>
        <w:jc w:val="both"/>
      </w:pPr>
      <w:r>
        <w:rPr>
          <w:rFonts w:ascii="Times New Roman" w:cs="Times New Roman" w:hAnsi="Times New Roman"/>
          <w:sz w:val="24"/>
          <w:szCs w:val="24"/>
        </w:rPr>
        <w:t>Н</w:t>
      </w:r>
      <w:r>
        <w:rPr>
          <w:rFonts w:ascii="Times New Roman" w:cs="Times New Roman" w:hAnsi="Times New Roman"/>
          <w:sz w:val="28"/>
          <w:szCs w:val="28"/>
        </w:rPr>
        <w:t xml:space="preserve"> – финансовый норматив на обеспечение выполнения функций органов местного самоуправления ;</w:t>
      </w:r>
    </w:p>
    <w:p>
      <w:pPr>
        <w:pStyle w:val="style28"/>
        <w:tabs>
          <w:tab w:leader="none" w:pos="708" w:val="left"/>
          <w:tab w:leader="none" w:pos="993" w:val="left"/>
          <w:tab w:leader="none" w:pos="1276" w:val="left"/>
        </w:tabs>
        <w:spacing w:after="0" w:before="0" w:line="100" w:lineRule="atLeast"/>
        <w:ind w:hanging="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предельная штатная численность </w:t>
      </w:r>
      <w:r>
        <w:rPr>
          <w:rFonts w:ascii="Times New Roman" w:cs="Times New Roman" w:hAnsi="Times New Roman"/>
          <w:sz w:val="28"/>
          <w:szCs w:val="28"/>
          <w:lang w:val="en-US"/>
        </w:rPr>
        <w:t>j</w:t>
      </w:r>
      <w:r>
        <w:rPr>
          <w:rFonts w:ascii="Times New Roman" w:cs="Times New Roman" w:hAnsi="Times New Roman"/>
          <w:sz w:val="28"/>
          <w:szCs w:val="28"/>
        </w:rPr>
        <w:t>-го органа местного самоуправления муниципального образования Большекитякское сельское поселение Малмыжского района;</w:t>
      </w:r>
    </w:p>
    <w:p>
      <w:pPr>
        <w:pStyle w:val="style28"/>
        <w:numPr>
          <w:ilvl w:val="0"/>
          <w:numId w:val="4"/>
        </w:numPr>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Планирование бюджетных ассигнований на социальное обеспечение населения осуществляется на предоставление социальных выплат граждан.</w:t>
      </w:r>
    </w:p>
    <w:p>
      <w:pPr>
        <w:pStyle w:val="style28"/>
        <w:tabs>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Объем бюджетных ассигнований на предоставление социальных  выплат гражданам определяется на основе планового метода расчета бюджетных ассигнований раздельно по каждому виду обязательств в виде пенсий, пособий, компенсаций и других социальных выплат по следующим формулам:</w:t>
      </w:r>
    </w:p>
    <w:p>
      <w:pPr>
        <w:pStyle w:val="style28"/>
        <w:numPr>
          <w:ilvl w:val="0"/>
          <w:numId w:val="5"/>
        </w:numPr>
        <w:tabs>
          <w:tab w:leader="none" w:pos="567" w:val="left"/>
          <w:tab w:leader="none" w:pos="708" w:val="left"/>
          <w:tab w:leader="none" w:pos="1276" w:val="left"/>
        </w:tabs>
        <w:spacing w:after="0" w:before="0" w:line="100" w:lineRule="atLeast"/>
        <w:ind w:firstLine="284" w:left="0" w:right="0"/>
        <w:jc w:val="both"/>
      </w:pPr>
      <w:r>
        <w:rPr>
          <w:rFonts w:ascii="Times New Roman" w:cs="Times New Roman" w:hAnsi="Times New Roman"/>
          <w:sz w:val="28"/>
          <w:szCs w:val="28"/>
        </w:rPr>
        <w:t>в  случае, когда установлен фиксированный размер социальной выплаты:</w:t>
      </w:r>
    </w:p>
    <w:p>
      <w:pPr>
        <w:pStyle w:val="style28"/>
        <w:tabs>
          <w:tab w:leader="none" w:pos="992" w:val="left"/>
          <w:tab w:leader="none" w:pos="1135" w:val="left"/>
          <w:tab w:leader="none" w:pos="1844" w:val="left"/>
        </w:tabs>
        <w:spacing w:after="0" w:before="0" w:line="100" w:lineRule="atLeast"/>
        <w:ind w:hanging="0" w:left="284" w:right="0"/>
        <w:jc w:val="both"/>
      </w:pPr>
      <w:r>
        <w:rPr/>
      </w:r>
    </w:p>
    <w:p>
      <w:pPr>
        <w:pStyle w:val="style0"/>
        <w:tabs>
          <w:tab w:leader="none" w:pos="567" w:val="left"/>
          <w:tab w:leader="none" w:pos="708" w:val="left"/>
          <w:tab w:leader="none" w:pos="1276" w:val="left"/>
        </w:tabs>
        <w:spacing w:after="0" w:before="0" w:line="100" w:lineRule="atLeast"/>
        <w:jc w:val="center"/>
      </w:pPr>
      <w:r>
        <w:rPr>
          <w:rFonts w:ascii="Times New Roman" w:cs="Times New Roman" w:hAnsi="Times New Roman"/>
          <w:sz w:val="28"/>
          <w:szCs w:val="28"/>
        </w:rPr>
        <w:t xml:space="preserve">   </w:t>
      </w:r>
      <w:r>
        <w:rPr>
          <w:rFonts w:ascii="Times New Roman" w:cs="Times New Roman" w:hAnsi="Times New Roman"/>
          <w:sz w:val="28"/>
          <w:szCs w:val="28"/>
        </w:rPr>
        <w:t>(9), где:</w:t>
      </w:r>
    </w:p>
    <w:p>
      <w:pPr>
        <w:pStyle w:val="style0"/>
        <w:tabs>
          <w:tab w:leader="none" w:pos="567" w:val="left"/>
          <w:tab w:leader="none" w:pos="708" w:val="left"/>
          <w:tab w:leader="none" w:pos="1276" w:val="left"/>
        </w:tabs>
        <w:spacing w:after="0" w:before="0" w:line="100" w:lineRule="atLeast"/>
        <w:jc w:val="both"/>
      </w:pPr>
      <w:r>
        <w:rPr>
          <w:rFonts w:ascii="Times New Roman" w:cs="Times New Roman" w:hAnsi="Times New Roman"/>
          <w:sz w:val="24"/>
          <w:szCs w:val="24"/>
        </w:rPr>
        <w:t xml:space="preserve"> </w:t>
      </w:r>
      <w:r>
        <w:rPr>
          <w:rFonts w:ascii="Times New Roman" w:cs="Times New Roman" w:hAnsi="Times New Roman"/>
          <w:sz w:val="28"/>
          <w:szCs w:val="28"/>
        </w:rPr>
        <w:t xml:space="preserve">- бюджетные ассигнования на предоставление социальных выплат гражданам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w:t>
      </w:r>
    </w:p>
    <w:p>
      <w:pPr>
        <w:pStyle w:val="style0"/>
        <w:tabs>
          <w:tab w:leader="none" w:pos="567" w:val="left"/>
          <w:tab w:leader="none" w:pos="708" w:val="left"/>
          <w:tab w:leader="none" w:pos="1276" w:val="left"/>
        </w:tabs>
        <w:spacing w:after="0" w:before="0" w:line="100" w:lineRule="atLeast"/>
        <w:jc w:val="both"/>
      </w:pPr>
      <w:r>
        <w:rPr>
          <w:rFonts w:ascii="Times New Roman" w:cs="Times New Roman" w:hAnsi="Times New Roman"/>
          <w:sz w:val="24"/>
          <w:szCs w:val="24"/>
        </w:rPr>
        <w:t xml:space="preserve"> </w:t>
      </w:r>
      <w:r>
        <w:rPr>
          <w:rFonts w:ascii="Times New Roman" w:cs="Times New Roman" w:hAnsi="Times New Roman"/>
          <w:sz w:val="28"/>
          <w:szCs w:val="28"/>
        </w:rPr>
        <w:t xml:space="preserve">- установленный законами Российской Федерации, законами Кировской области и принятыми в соответствии с ними нормативными правовыми актами Правительства Кировской области размер социальной выплаты гражданам </w:t>
      </w:r>
      <w:r>
        <w:rPr>
          <w:rFonts w:ascii="Times New Roman" w:cs="Times New Roman" w:hAnsi="Times New Roman"/>
          <w:sz w:val="28"/>
          <w:szCs w:val="28"/>
          <w:lang w:val="en-US"/>
        </w:rPr>
        <w:t>j</w:t>
      </w:r>
      <w:r>
        <w:rPr>
          <w:rFonts w:ascii="Times New Roman" w:cs="Times New Roman" w:hAnsi="Times New Roman"/>
          <w:sz w:val="28"/>
          <w:szCs w:val="28"/>
        </w:rPr>
        <w:t>-го вида;</w:t>
      </w:r>
    </w:p>
    <w:p>
      <w:pPr>
        <w:pStyle w:val="style0"/>
        <w:tabs>
          <w:tab w:leader="none" w:pos="567" w:val="left"/>
          <w:tab w:leader="none" w:pos="708" w:val="left"/>
          <w:tab w:leader="none" w:pos="1276" w:val="left"/>
        </w:tabs>
        <w:spacing w:after="0" w:before="0" w:line="100" w:lineRule="atLeast"/>
        <w:jc w:val="both"/>
      </w:pPr>
      <w:r>
        <w:rPr>
          <w:rFonts w:ascii="Times New Roman" w:cs="Times New Roman" w:hAnsi="Times New Roman"/>
          <w:sz w:val="24"/>
          <w:szCs w:val="24"/>
        </w:rPr>
        <w:t xml:space="preserve"> </w:t>
      </w:r>
      <w:r>
        <w:rPr>
          <w:rFonts w:ascii="Times New Roman" w:cs="Times New Roman" w:hAnsi="Times New Roman"/>
          <w:sz w:val="28"/>
          <w:szCs w:val="28"/>
        </w:rPr>
        <w:t xml:space="preserve">- среднегодовой коэффициент индексации размера социальной выплаты гражданам </w:t>
      </w:r>
      <w:r>
        <w:rPr>
          <w:rFonts w:ascii="Times New Roman" w:cs="Times New Roman" w:hAnsi="Times New Roman"/>
          <w:sz w:val="28"/>
          <w:szCs w:val="28"/>
          <w:lang w:val="en-US"/>
        </w:rPr>
        <w:t>j</w:t>
      </w:r>
      <w:r>
        <w:rPr>
          <w:rFonts w:ascii="Times New Roman" w:cs="Times New Roman" w:hAnsi="Times New Roman"/>
          <w:sz w:val="28"/>
          <w:szCs w:val="28"/>
        </w:rPr>
        <w:t xml:space="preserve">-го вида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w:t>
      </w:r>
    </w:p>
    <w:p>
      <w:pPr>
        <w:pStyle w:val="style0"/>
        <w:tabs>
          <w:tab w:leader="none" w:pos="567" w:val="left"/>
          <w:tab w:leader="none" w:pos="708" w:val="left"/>
          <w:tab w:leader="none" w:pos="1276" w:val="left"/>
        </w:tabs>
        <w:spacing w:after="0" w:before="0" w:line="100" w:lineRule="atLeast"/>
        <w:jc w:val="both"/>
      </w:pPr>
      <w:r>
        <w:rPr>
          <w:rFonts w:ascii="Times New Roman" w:cs="Times New Roman" w:hAnsi="Times New Roman"/>
          <w:sz w:val="24"/>
          <w:szCs w:val="24"/>
        </w:rPr>
        <w:t xml:space="preserve"> </w:t>
      </w:r>
      <w:r>
        <w:rPr>
          <w:rFonts w:ascii="Times New Roman" w:cs="Times New Roman" w:hAnsi="Times New Roman"/>
          <w:sz w:val="28"/>
          <w:szCs w:val="28"/>
        </w:rPr>
        <w:t xml:space="preserve">- число граждан, имеющих право на социальную выплату </w:t>
      </w:r>
      <w:r>
        <w:rPr>
          <w:rFonts w:ascii="Times New Roman" w:cs="Times New Roman" w:hAnsi="Times New Roman"/>
          <w:sz w:val="28"/>
          <w:szCs w:val="28"/>
          <w:lang w:val="en-US"/>
        </w:rPr>
        <w:t>j</w:t>
      </w:r>
      <w:r>
        <w:rPr>
          <w:rFonts w:ascii="Times New Roman" w:cs="Times New Roman" w:hAnsi="Times New Roman"/>
          <w:sz w:val="28"/>
          <w:szCs w:val="28"/>
        </w:rPr>
        <w:t xml:space="preserve">-го вида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w:t>
      </w:r>
    </w:p>
    <w:p>
      <w:pPr>
        <w:pStyle w:val="style0"/>
        <w:tabs>
          <w:tab w:leader="none" w:pos="567" w:val="left"/>
          <w:tab w:leader="none" w:pos="708" w:val="left"/>
          <w:tab w:leader="none" w:pos="1276" w:val="left"/>
        </w:tabs>
        <w:spacing w:after="0" w:before="0" w:line="100" w:lineRule="atLeast"/>
        <w:jc w:val="both"/>
      </w:pPr>
      <w:r>
        <w:rPr>
          <w:rFonts w:ascii="Times New Roman" w:cs="Times New Roman" w:hAnsi="Times New Roman"/>
          <w:sz w:val="28"/>
          <w:szCs w:val="28"/>
        </w:rPr>
        <w:t>12 – применяется в случае, если выплаты производятся ежемесячно;</w:t>
      </w:r>
    </w:p>
    <w:p>
      <w:pPr>
        <w:pStyle w:val="style0"/>
        <w:tabs>
          <w:tab w:leader="none" w:pos="567" w:val="left"/>
          <w:tab w:leader="none" w:pos="708" w:val="left"/>
          <w:tab w:leader="none" w:pos="1276" w:val="left"/>
        </w:tabs>
        <w:spacing w:after="0" w:before="0"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 расходы, связанные с доставкой социальной выплаты гражданам </w:t>
      </w:r>
      <w:r>
        <w:rPr>
          <w:rFonts w:ascii="Times New Roman" w:cs="Times New Roman" w:hAnsi="Times New Roman"/>
          <w:sz w:val="28"/>
          <w:szCs w:val="28"/>
          <w:lang w:val="en-US"/>
        </w:rPr>
        <w:t>j</w:t>
      </w:r>
      <w:r>
        <w:rPr>
          <w:rFonts w:ascii="Times New Roman" w:cs="Times New Roman" w:hAnsi="Times New Roman"/>
          <w:sz w:val="28"/>
          <w:szCs w:val="28"/>
        </w:rPr>
        <w:t>-го вида и определяемые в процессах от объема бюджетных ассигнований на указанные выплаты.</w:t>
      </w:r>
    </w:p>
    <w:p>
      <w:pPr>
        <w:pStyle w:val="style0"/>
        <w:tabs>
          <w:tab w:leader="none" w:pos="567" w:val="left"/>
          <w:tab w:leader="none" w:pos="708" w:val="left"/>
          <w:tab w:leader="none" w:pos="1276" w:val="left"/>
        </w:tabs>
        <w:spacing w:after="0" w:before="0" w:line="100" w:lineRule="atLeast"/>
        <w:jc w:val="both"/>
      </w:pPr>
      <w:r>
        <w:rPr/>
      </w:r>
    </w:p>
    <w:p>
      <w:pPr>
        <w:pStyle w:val="style0"/>
        <w:tabs>
          <w:tab w:leader="none" w:pos="567" w:val="left"/>
          <w:tab w:leader="none" w:pos="708" w:val="left"/>
          <w:tab w:leader="none" w:pos="993" w:val="left"/>
          <w:tab w:leader="none" w:pos="1276" w:val="left"/>
        </w:tabs>
        <w:spacing w:after="0" w:before="0" w:line="100" w:lineRule="atLeast"/>
        <w:jc w:val="both"/>
      </w:pPr>
      <w:r>
        <w:rPr/>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Планирование бюджетных ассигнований на обслуживание муниципального долга муниципального образования  Большекитякское сельское поселение Малмыжского района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осуществляется на основе планового метода расчета бюджетных ассигнований исходя из верхнего предела муниципального долга  муниципального образования Большекитякское сельское поселение Малмыжского района на начало планируемого периода, графиков гашения действующих долговых обязательств, прогноза привлечения кредитов и займов на финансирование дефицита бюджета муниципального образования Большекитякское сельское поселение  района.</w:t>
      </w:r>
    </w:p>
    <w:p>
      <w:pPr>
        <w:pStyle w:val="style28"/>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В качестве расчетных ставок при определении расходов на обслуживание муниципального долга муниципального образования Большекитякское сельское поселение Малмыжского района используются фактические процентные ставки по действующим долговым обязательствам  и процентная ставка рефинансирования, установленная Центральным банком Российской Федерации, с учетом ее прогнозируемого изменения в очередном финансовом году и плановом периоде, по обязательствам, планируемым к привлечению. </w:t>
      </w:r>
    </w:p>
    <w:p>
      <w:pPr>
        <w:pStyle w:val="style28"/>
        <w:tabs>
          <w:tab w:leader="none" w:pos="567" w:val="left"/>
          <w:tab w:leader="none" w:pos="708" w:val="left"/>
          <w:tab w:leader="none" w:pos="993" w:val="left"/>
          <w:tab w:leader="none" w:pos="1276" w:val="left"/>
        </w:tabs>
        <w:spacing w:after="0" w:before="0" w:line="100" w:lineRule="atLeast"/>
        <w:ind w:firstLine="709" w:left="0" w:right="0"/>
        <w:jc w:val="both"/>
      </w:pPr>
      <w:r>
        <w:rPr/>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Планирование бюджетных ассигнований исполнение судебных актов по искам к муниципальному образованию  Большекитякское сельское поселение Малмыжского районан Кировской области о возмещении вреда, причиненного гражданину или юридическому лицу в результате незаконных действий (бездействия) органов местного самоуправления Большекитякского сельского поселения Малмыжского района либо должностных лиц этих органов,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осуществляется исходя из бюджетных ассигнований текущего года с учетом сроков исполнения указанных судебных актов.</w:t>
      </w:r>
    </w:p>
    <w:p>
      <w:pPr>
        <w:pStyle w:val="style28"/>
        <w:tabs>
          <w:tab w:leader="none" w:pos="1417" w:val="left"/>
          <w:tab w:leader="none" w:pos="1985" w:val="left"/>
          <w:tab w:leader="none" w:pos="2411" w:val="left"/>
          <w:tab w:leader="none" w:pos="2694" w:val="left"/>
        </w:tabs>
        <w:spacing w:after="0" w:before="0" w:line="100" w:lineRule="atLeast"/>
        <w:ind w:hanging="0" w:left="709" w:right="0"/>
        <w:jc w:val="both"/>
      </w:pPr>
      <w:r>
        <w:rPr/>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В составе расходов бюджета муниципального образования Большекитякское сельское поселение Малмыжского  района предусматриваются бюджетные ассигнования резервного фонда администрации Большекитякского сельского поселения Малмыжского района на финансовое обеспечение непредвиденных расходов, объем которых не может превышать 3 процентов общего объема расходов  бюджета муниципального образования  Большекитякское сельское поселения Малмыжского района.</w:t>
      </w:r>
    </w:p>
    <w:p>
      <w:pPr>
        <w:pStyle w:val="style0"/>
        <w:tabs>
          <w:tab w:leader="none" w:pos="567" w:val="left"/>
          <w:tab w:leader="none" w:pos="708" w:val="left"/>
          <w:tab w:leader="none" w:pos="993" w:val="left"/>
          <w:tab w:leader="none" w:pos="1276" w:val="left"/>
        </w:tabs>
        <w:spacing w:after="0" w:before="0" w:line="100" w:lineRule="atLeast"/>
        <w:jc w:val="both"/>
      </w:pPr>
      <w:r>
        <w:rPr/>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Планирование бюджетных ассигнований на реализацию муниципальных целевых программ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осуществляется на основе планового  метода расчета бюджетных ассигнований в соответствии с объемами, указанными в перечне муниципальных целевых программ, реализацию которых предлагается осуществлять за счет средств бюджета муниципального образования  Большекитякское сельское поселение Малмыжского района  Кировской области в очередном финансовом году (очередном финансовом году и плановом периоде).</w:t>
      </w:r>
    </w:p>
    <w:p>
      <w:pPr>
        <w:pStyle w:val="style28"/>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 xml:space="preserve">Объем бюджетных ассигнований на реализацию Программы управления муниципальным имуществом муниципального образования Большекитякское  сельское поселение  Малмыжского района в </w:t>
      </w:r>
      <w:r>
        <w:rPr>
          <w:rFonts w:ascii="Times New Roman" w:cs="Times New Roman" w:hAnsi="Times New Roman"/>
          <w:sz w:val="28"/>
          <w:szCs w:val="28"/>
          <w:lang w:val="en-US"/>
        </w:rPr>
        <w:t>i</w:t>
      </w:r>
      <w:r>
        <w:rPr>
          <w:rFonts w:ascii="Times New Roman" w:cs="Times New Roman" w:hAnsi="Times New Roman"/>
          <w:sz w:val="28"/>
          <w:szCs w:val="28"/>
        </w:rPr>
        <w:t>-ом финансовом году  определяется в соответствии с проектом указанной Программы.</w:t>
      </w:r>
    </w:p>
    <w:p>
      <w:pPr>
        <w:pStyle w:val="style28"/>
        <w:tabs>
          <w:tab w:leader="none" w:pos="567" w:val="left"/>
          <w:tab w:leader="none" w:pos="708" w:val="left"/>
          <w:tab w:leader="none" w:pos="993" w:val="left"/>
          <w:tab w:leader="none" w:pos="1276" w:val="left"/>
        </w:tabs>
        <w:spacing w:after="0" w:before="0" w:line="100" w:lineRule="atLeast"/>
        <w:ind w:firstLine="709" w:left="0" w:right="0"/>
        <w:jc w:val="both"/>
      </w:pPr>
      <w:r>
        <w:rPr/>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Планирование бюджетных ассигнований на расходные обязательства, исполняемые за счет целевых средств от других бюджетов системы Российской Федерации или государственных корпораций, осуществляется, исходя из объема указанных доходов, представляемых главными администраторами этих доходов, или установленных проектом Закона Кировской области «Об областном бюджете» (проектами нормативных правовых актов Кировской области).</w:t>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В случае  составления проекта бюджета  муниципального образования Большекитякское  сельское поселение Малмыжского района Кировской области  сроком на три года, в составе расходов  бюджета поселения предусматриваются условно утверждаемые  расходы на первый год планового периода в объеме не менее 2,5 % общего объема расходов бюджета поселения, на второй год планового периода в объеме не менее 5% общего объема расходов бюджета муниципального образования Большекитякское сельское поселение  Малмыжского района.</w:t>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Для определения объема бюджетных ассигнований на первый (второй)  год планового периода финансовый норматив (размер выплаты, тариф, бюджетные ассигнования) определяется исходя из установленного базового финансового норматива (размер выплаты, тарифа, бюджетных ассигнований).</w:t>
      </w:r>
    </w:p>
    <w:p>
      <w:pPr>
        <w:pStyle w:val="style28"/>
      </w:pPr>
      <w:r>
        <w:rPr/>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При составлении бюджета поселения на очередной финансовый год и (или) плановый период могут быть применены индексы изменения соответствующих бюджетных расходов, определяемые администрацией Малмыжского района, а также иные способы планирования бюджетных ассигнований, не отраженные в настоящей Методике.</w:t>
      </w:r>
    </w:p>
    <w:p>
      <w:pPr>
        <w:pStyle w:val="style28"/>
      </w:pPr>
      <w:r>
        <w:rPr/>
      </w:r>
    </w:p>
    <w:p>
      <w:pPr>
        <w:pStyle w:val="style28"/>
        <w:numPr>
          <w:ilvl w:val="0"/>
          <w:numId w:val="4"/>
        </w:numPr>
        <w:tabs>
          <w:tab w:leader="none" w:pos="567" w:val="left"/>
          <w:tab w:leader="none" w:pos="708" w:val="left"/>
          <w:tab w:leader="none" w:pos="993" w:val="left"/>
          <w:tab w:leader="none" w:pos="1276" w:val="left"/>
        </w:tabs>
        <w:spacing w:after="0" w:before="0" w:line="100" w:lineRule="atLeast"/>
        <w:ind w:firstLine="709" w:left="0" w:right="0"/>
        <w:jc w:val="both"/>
      </w:pPr>
      <w:r>
        <w:rPr>
          <w:rFonts w:ascii="Times New Roman" w:cs="Times New Roman" w:hAnsi="Times New Roman"/>
          <w:sz w:val="28"/>
          <w:szCs w:val="28"/>
        </w:rPr>
        <w:t>При составлении бюджета поселения  на 2014 год и на плановый период 2015 и 2016 годов объем бюджетных ассигнований на обеспечение выполнения функций муниципальных  казенных учреждений определяется в соответствии с пунктом 6.1 настоящей Методики с учетом доходов от платных услуг, оказываемых указанными учреждениями.</w:t>
      </w:r>
    </w:p>
    <w:p>
      <w:pPr>
        <w:pStyle w:val="style28"/>
      </w:pPr>
      <w:r>
        <w:rPr/>
      </w:r>
    </w:p>
    <w:p>
      <w:pPr>
        <w:pStyle w:val="style28"/>
        <w:tabs>
          <w:tab w:leader="none" w:pos="708" w:val="left"/>
          <w:tab w:leader="none" w:pos="993" w:val="left"/>
          <w:tab w:leader="none" w:pos="1276" w:val="left"/>
        </w:tabs>
        <w:spacing w:after="0" w:before="0" w:line="100" w:lineRule="atLeast"/>
        <w:ind w:hanging="0" w:left="0" w:right="0"/>
        <w:jc w:val="center"/>
      </w:pPr>
      <w:r>
        <w:rPr>
          <w:rFonts w:ascii="Times New Roman" w:cs="Times New Roman" w:hAnsi="Times New Roman"/>
          <w:sz w:val="28"/>
          <w:szCs w:val="28"/>
        </w:rPr>
        <w:t>______________________</w:t>
      </w:r>
    </w:p>
    <w:sectPr>
      <w:type w:val="nextPage"/>
      <w:pgSz w:h="16838" w:w="11906"/>
      <w:pgMar w:bottom="567" w:footer="0" w:gutter="0" w:header="0" w:left="1701" w:right="850" w:top="568"/>
      <w:pgNumType w:fmt="decimal"/>
      <w:formProt w:val="false"/>
      <w:textDirection w:val="lrTb"/>
      <w:docGrid w:charSpace="-2049"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3">
    <w:lvl w:ilvl="0">
      <w:start w:val="1"/>
      <w:numFmt w:val="upperRoman"/>
      <w:lvlText w:val="%1."/>
      <w:lvlJc w:val="left"/>
      <w:pPr>
        <w:ind w:hanging="720" w:left="1080"/>
      </w:pPr>
    </w:lvl>
    <w:lvl w:ilvl="1">
      <w:start w:val="1"/>
      <w:numFmt w:val="lowerLetter"/>
      <w:lvlText w:val="%2."/>
      <w:lvlJc w:val="left"/>
      <w:pPr>
        <w:ind w:hanging="360" w:left="1440"/>
      </w:pPr>
    </w:lvl>
    <w:lvl w:ilvl="2">
      <w:start w:val="1"/>
      <w:numFmt w:val="lowerRoman"/>
      <w:lvlText w:val="%2.%3."/>
      <w:lvlJc w:val="right"/>
      <w:pPr>
        <w:ind w:hanging="180" w:left="2160"/>
      </w:pPr>
    </w:lvl>
    <w:lvl w:ilvl="3">
      <w:start w:val="1"/>
      <w:numFmt w:val="decimal"/>
      <w:lvlText w:val="%2.%3.%4."/>
      <w:lvlJc w:val="left"/>
      <w:pPr>
        <w:ind w:hanging="360" w:left="2880"/>
      </w:pPr>
    </w:lvl>
    <w:lvl w:ilvl="4">
      <w:start w:val="1"/>
      <w:numFmt w:val="lowerLetter"/>
      <w:lvlText w:val="%2.%3.%4.%5."/>
      <w:lvlJc w:val="left"/>
      <w:pPr>
        <w:ind w:hanging="360" w:left="3600"/>
      </w:pPr>
    </w:lvl>
    <w:lvl w:ilvl="5">
      <w:start w:val="1"/>
      <w:numFmt w:val="lowerRoman"/>
      <w:lvlText w:val="%2.%3.%4.%5.%6."/>
      <w:lvlJc w:val="right"/>
      <w:pPr>
        <w:ind w:hanging="180" w:left="4320"/>
      </w:pPr>
    </w:lvl>
    <w:lvl w:ilvl="6">
      <w:start w:val="1"/>
      <w:numFmt w:val="decimal"/>
      <w:lvlText w:val="%2.%3.%4.%5.%6.%7."/>
      <w:lvlJc w:val="left"/>
      <w:pPr>
        <w:ind w:hanging="360" w:left="5040"/>
      </w:pPr>
    </w:lvl>
    <w:lvl w:ilvl="7">
      <w:start w:val="1"/>
      <w:numFmt w:val="lowerLetter"/>
      <w:lvlText w:val="%2.%3.%4.%5.%6.%7.%8."/>
      <w:lvlJc w:val="left"/>
      <w:pPr>
        <w:ind w:hanging="360" w:left="5760"/>
      </w:pPr>
    </w:lvl>
    <w:lvl w:ilvl="8">
      <w:start w:val="1"/>
      <w:numFmt w:val="lowerRoman"/>
      <w:lvlText w:val="%2.%3.%4.%5.%6.%7.%8.%9."/>
      <w:lvlJc w:val="right"/>
      <w:pPr>
        <w:ind w:hanging="180" w:left="6480"/>
      </w:pPr>
    </w:lvl>
  </w:abstractNum>
  <w:abstractNum w:abstractNumId="4">
    <w:lvl w:ilvl="0">
      <w:start w:val="1"/>
      <w:numFmt w:val="decimal"/>
      <w:lvlText w:val="%1."/>
      <w:lvlJc w:val="left"/>
      <w:pPr>
        <w:ind w:hanging="360" w:left="1429"/>
      </w:pPr>
    </w:lvl>
    <w:lvl w:ilvl="1">
      <w:start w:val="1"/>
      <w:numFmt w:val="decimal"/>
      <w:lvlText w:val="%1.%2."/>
      <w:lvlJc w:val="left"/>
      <w:pPr>
        <w:ind w:hanging="720" w:left="1288"/>
      </w:pPr>
    </w:lvl>
    <w:lvl w:ilvl="2">
      <w:start w:val="1"/>
      <w:numFmt w:val="decimal"/>
      <w:lvlText w:val="%1.%2.%3."/>
      <w:lvlJc w:val="left"/>
      <w:pPr>
        <w:ind w:hanging="720" w:left="1789"/>
      </w:pPr>
    </w:lvl>
    <w:lvl w:ilvl="3">
      <w:start w:val="1"/>
      <w:numFmt w:val="decimal"/>
      <w:lvlText w:val="%1.%2.%3.%4."/>
      <w:lvlJc w:val="left"/>
      <w:pPr>
        <w:ind w:hanging="1080" w:left="2149"/>
      </w:pPr>
    </w:lvl>
    <w:lvl w:ilvl="4">
      <w:start w:val="1"/>
      <w:numFmt w:val="decimal"/>
      <w:lvlText w:val="%1.%2.%3.%4.%5."/>
      <w:lvlJc w:val="left"/>
      <w:pPr>
        <w:ind w:hanging="1080" w:left="2149"/>
      </w:pPr>
    </w:lvl>
    <w:lvl w:ilvl="5">
      <w:start w:val="1"/>
      <w:numFmt w:val="decimal"/>
      <w:lvlText w:val="%1.%2.%3.%4.%5.%6."/>
      <w:lvlJc w:val="left"/>
      <w:pPr>
        <w:ind w:hanging="1440" w:left="2509"/>
      </w:pPr>
    </w:lvl>
    <w:lvl w:ilvl="6">
      <w:start w:val="1"/>
      <w:numFmt w:val="decimal"/>
      <w:lvlText w:val="%1.%2.%3.%4.%5.%6.%7."/>
      <w:lvlJc w:val="left"/>
      <w:pPr>
        <w:ind w:hanging="1800" w:left="2869"/>
      </w:pPr>
    </w:lvl>
    <w:lvl w:ilvl="7">
      <w:start w:val="1"/>
      <w:numFmt w:val="decimal"/>
      <w:lvlText w:val="%1.%2.%3.%4.%5.%6.%7.%8."/>
      <w:lvlJc w:val="left"/>
      <w:pPr>
        <w:ind w:hanging="1800" w:left="2869"/>
      </w:pPr>
    </w:lvl>
    <w:lvl w:ilvl="8">
      <w:start w:val="1"/>
      <w:numFmt w:val="decimal"/>
      <w:lvlText w:val="%1.%2.%3.%4.%5.%6.%7.%8.%9."/>
      <w:lvlJc w:val="left"/>
      <w:pPr>
        <w:ind w:hanging="2160" w:left="3229"/>
      </w:pPr>
    </w:lvl>
  </w:abstractNum>
  <w:abstractNum w:abstractNumId="5">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num w:numId="1">
    <w:abstractNumId w:val="1"/>
  </w:num>
  <w:num w:numId="2">
    <w:abstractNumId w:val="2"/>
  </w:num>
  <w:num w:numId="3">
    <w:abstractNumId w:val="3"/>
  </w:num>
  <w:num w:numId="4">
    <w:abstractNumId w:val="4"/>
  </w:num>
  <w:num w:numId="5">
    <w:abstractNumId w:val="5"/>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pPr>
    <w:rPr>
      <w:rFonts w:ascii="Calibri" w:cs="" w:eastAsia="Arial Unicode MS" w:hAnsi="Calibri"/>
      <w:color w:val="00000A"/>
      <w:sz w:val="22"/>
      <w:szCs w:val="22"/>
      <w:lang w:bidi="ar-SA" w:eastAsia="en-US" w:val="ru-RU"/>
    </w:rPr>
  </w:style>
  <w:style w:styleId="style3" w:type="paragraph">
    <w:name w:val="Заголовок 3"/>
    <w:basedOn w:val="style0"/>
    <w:next w:val="style24"/>
    <w:pPr>
      <w:keepNext/>
      <w:numPr>
        <w:ilvl w:val="2"/>
        <w:numId w:val="1"/>
      </w:numPr>
      <w:spacing w:after="0" w:before="0" w:line="100" w:lineRule="atLeast"/>
      <w:jc w:val="center"/>
      <w:outlineLvl w:val="2"/>
    </w:pPr>
    <w:rPr>
      <w:rFonts w:ascii="Times New Roman" w:cs="Times New Roman" w:eastAsia="Times New Roman" w:hAnsi="Times New Roman"/>
      <w:b/>
      <w:bCs/>
      <w:sz w:val="24"/>
      <w:szCs w:val="24"/>
      <w:lang w:eastAsia="ru-RU"/>
    </w:rPr>
  </w:style>
  <w:style w:styleId="style15" w:type="character">
    <w:name w:val="Default Paragraph Font"/>
    <w:next w:val="style15"/>
    <w:rPr/>
  </w:style>
  <w:style w:styleId="style16" w:type="character">
    <w:name w:val="Placeholder Text"/>
    <w:basedOn w:val="style15"/>
    <w:next w:val="style16"/>
    <w:rPr>
      <w:color w:val="808080"/>
    </w:rPr>
  </w:style>
  <w:style w:styleId="style17" w:type="character">
    <w:name w:val="Текст выноски Знак"/>
    <w:basedOn w:val="style15"/>
    <w:next w:val="style17"/>
    <w:rPr>
      <w:rFonts w:ascii="Tahoma" w:cs="Tahoma" w:hAnsi="Tahoma"/>
      <w:sz w:val="16"/>
      <w:szCs w:val="16"/>
    </w:rPr>
  </w:style>
  <w:style w:styleId="style18" w:type="character">
    <w:name w:val="Заголовок 3 Знак"/>
    <w:basedOn w:val="style15"/>
    <w:next w:val="style18"/>
    <w:rPr>
      <w:rFonts w:ascii="Times New Roman" w:cs="Times New Roman" w:eastAsia="Times New Roman" w:hAnsi="Times New Roman"/>
      <w:b/>
      <w:bCs/>
      <w:sz w:val="24"/>
      <w:szCs w:val="24"/>
      <w:lang w:eastAsia="ru-RU"/>
    </w:rPr>
  </w:style>
  <w:style w:styleId="style19" w:type="character">
    <w:name w:val="ListLabel 1"/>
    <w:next w:val="style19"/>
    <w:rPr>
      <w:rFonts w:cs="Courier New"/>
    </w:rPr>
  </w:style>
  <w:style w:styleId="style20" w:type="character">
    <w:name w:val="ListLabel 2"/>
    <w:next w:val="style20"/>
    <w:rPr>
      <w:rFonts w:cs="Symbol"/>
    </w:rPr>
  </w:style>
  <w:style w:styleId="style21" w:type="character">
    <w:name w:val="ListLabel 3"/>
    <w:next w:val="style21"/>
    <w:rPr>
      <w:rFonts w:cs="Courier New"/>
    </w:rPr>
  </w:style>
  <w:style w:styleId="style22" w:type="character">
    <w:name w:val="ListLabel 4"/>
    <w:next w:val="style22"/>
    <w:rPr>
      <w:rFonts w:cs="Wingdings"/>
    </w:rPr>
  </w:style>
  <w:style w:styleId="style23" w:type="paragraph">
    <w:name w:val="Заголовок"/>
    <w:basedOn w:val="style0"/>
    <w:next w:val="style24"/>
    <w:pPr>
      <w:keepNext/>
      <w:spacing w:after="120" w:before="240"/>
    </w:pPr>
    <w:rPr>
      <w:rFonts w:ascii="Arial" w:cs="Mangal" w:eastAsia="Arial Unicode MS" w:hAnsi="Arial"/>
      <w:sz w:val="28"/>
      <w:szCs w:val="28"/>
    </w:rPr>
  </w:style>
  <w:style w:styleId="style24" w:type="paragraph">
    <w:name w:val="Основной текст"/>
    <w:basedOn w:val="style0"/>
    <w:next w:val="style24"/>
    <w:pPr>
      <w:spacing w:after="120" w:before="0"/>
    </w:pPr>
    <w:rPr/>
  </w:style>
  <w:style w:styleId="style25" w:type="paragraph">
    <w:name w:val="Список"/>
    <w:basedOn w:val="style24"/>
    <w:next w:val="style25"/>
    <w:pPr/>
    <w:rPr>
      <w:rFonts w:cs="Mangal"/>
    </w:rPr>
  </w:style>
  <w:style w:styleId="style26" w:type="paragraph">
    <w:name w:val="Название"/>
    <w:basedOn w:val="style0"/>
    <w:next w:val="style26"/>
    <w:pPr>
      <w:suppressLineNumbers/>
      <w:spacing w:after="120" w:before="120"/>
    </w:pPr>
    <w:rPr>
      <w:rFonts w:cs="Mangal"/>
      <w:i/>
      <w:iCs/>
      <w:sz w:val="24"/>
      <w:szCs w:val="24"/>
    </w:rPr>
  </w:style>
  <w:style w:styleId="style27" w:type="paragraph">
    <w:name w:val="Указатель"/>
    <w:basedOn w:val="style0"/>
    <w:next w:val="style27"/>
    <w:pPr>
      <w:suppressLineNumbers/>
    </w:pPr>
    <w:rPr>
      <w:rFonts w:cs="Mangal"/>
    </w:rPr>
  </w:style>
  <w:style w:styleId="style28" w:type="paragraph">
    <w:name w:val="List Paragraph"/>
    <w:basedOn w:val="style0"/>
    <w:next w:val="style28"/>
    <w:pPr>
      <w:ind w:hanging="0" w:left="720" w:right="0"/>
    </w:pPr>
    <w:rPr/>
  </w:style>
  <w:style w:styleId="style29" w:type="paragraph">
    <w:name w:val="Balloon Text"/>
    <w:basedOn w:val="style0"/>
    <w:next w:val="style29"/>
    <w:pPr>
      <w:spacing w:after="0" w:before="0" w:line="100" w:lineRule="atLeast"/>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1466</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2012-08-30T05:46:00.00Z</dcterms:created>
  <dc:creator>OPD2</dc:creator>
  <cp:lastModifiedBy>shadow</cp:lastModifiedBy>
  <cp:lastPrinted>2014-11-24T15:14:32.48Z</cp:lastPrinted>
  <dcterms:modified xsi:type="dcterms:W3CDTF">2014-11-20T11:43:00.00Z</dcterms:modified>
  <cp:revision>48</cp:revision>
</cp:coreProperties>
</file>