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7D" w:rsidRPr="003F4513" w:rsidRDefault="005C0046" w:rsidP="003F4513">
      <w:pPr>
        <w:tabs>
          <w:tab w:val="left" w:pos="6237"/>
          <w:tab w:val="left" w:pos="637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АДМИНИСТРАЦИЯ РОЖКИНСКОГО СЕЛЬСКОГО ПОСЕЛЕНИЯ МАЛМЫЖСКОГО РАЙОНА КИРОВСКОЙ ОБЛАСТИ</w:t>
      </w:r>
      <w:r w:rsidR="00A916CC" w:rsidRPr="003F451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CC527D" w:rsidRPr="003F4513" w:rsidRDefault="00CC527D" w:rsidP="003F4513">
      <w:pPr>
        <w:tabs>
          <w:tab w:val="left" w:pos="6237"/>
          <w:tab w:val="left" w:pos="63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FD4BFD" w:rsidP="003F4513">
      <w:pPr>
        <w:pStyle w:val="3"/>
        <w:rPr>
          <w:sz w:val="28"/>
          <w:szCs w:val="28"/>
        </w:rPr>
      </w:pPr>
      <w:r w:rsidRPr="003F4513">
        <w:rPr>
          <w:sz w:val="28"/>
          <w:szCs w:val="28"/>
        </w:rPr>
        <w:t xml:space="preserve">РАСПОРЯЖЕНИЕ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4513" w:rsidRDefault="005C0046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E88">
        <w:rPr>
          <w:rFonts w:ascii="Times New Roman" w:hAnsi="Times New Roman" w:cs="Times New Roman"/>
          <w:bCs/>
          <w:sz w:val="28"/>
          <w:szCs w:val="28"/>
        </w:rPr>
        <w:t xml:space="preserve">05.11.2014                                                                                       </w:t>
      </w:r>
      <w:r w:rsidR="0039358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53E88">
        <w:rPr>
          <w:rFonts w:ascii="Times New Roman" w:hAnsi="Times New Roman" w:cs="Times New Roman"/>
          <w:bCs/>
          <w:sz w:val="28"/>
          <w:szCs w:val="28"/>
        </w:rPr>
        <w:t xml:space="preserve">      №  37 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5C0046" w:rsidRPr="003F4513" w:rsidRDefault="00F53E88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5C0046" w:rsidRPr="003F4513">
        <w:rPr>
          <w:rFonts w:ascii="Times New Roman" w:hAnsi="Times New Roman" w:cs="Times New Roman"/>
          <w:bCs/>
          <w:sz w:val="28"/>
          <w:szCs w:val="28"/>
        </w:rPr>
        <w:t xml:space="preserve"> с. Рожки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F53E88" w:rsidRDefault="005C0046" w:rsidP="00F53E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E8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F53E88">
        <w:rPr>
          <w:rFonts w:ascii="Times New Roman" w:hAnsi="Times New Roman" w:cs="Times New Roman"/>
          <w:b/>
          <w:bCs/>
          <w:sz w:val="28"/>
          <w:szCs w:val="28"/>
        </w:rPr>
        <w:t>Методики   планирования бюджетных ассигнований бюджета муниципального образования</w:t>
      </w:r>
      <w:proofErr w:type="gramEnd"/>
      <w:r w:rsidRPr="00F53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53E88">
        <w:rPr>
          <w:rFonts w:ascii="Times New Roman" w:hAnsi="Times New Roman" w:cs="Times New Roman"/>
          <w:b/>
          <w:bCs/>
          <w:sz w:val="28"/>
          <w:szCs w:val="28"/>
        </w:rPr>
        <w:t>Рожкинское</w:t>
      </w:r>
      <w:proofErr w:type="spellEnd"/>
      <w:r w:rsidRPr="00F53E8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 </w:t>
      </w:r>
      <w:proofErr w:type="spellStart"/>
      <w:r w:rsidRPr="00F53E88"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Pr="00F53E88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CC527D" w:rsidRPr="003F4513" w:rsidRDefault="00CC527D" w:rsidP="003F4513">
      <w:pPr>
        <w:autoSpaceDE w:val="0"/>
        <w:autoSpaceDN w:val="0"/>
        <w:adjustRightInd w:val="0"/>
        <w:spacing w:after="0"/>
        <w:ind w:lef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       В </w:t>
      </w:r>
      <w:r w:rsidR="00684EFF" w:rsidRPr="003F4513">
        <w:rPr>
          <w:rFonts w:ascii="Times New Roman" w:hAnsi="Times New Roman" w:cs="Times New Roman"/>
          <w:bCs/>
          <w:sz w:val="28"/>
          <w:szCs w:val="28"/>
        </w:rPr>
        <w:t xml:space="preserve">целях формирования  бюджета муниципального  образования </w:t>
      </w:r>
      <w:proofErr w:type="spellStart"/>
      <w:r w:rsidR="00684EFF" w:rsidRPr="003F4513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="00684EFF" w:rsidRPr="003F4513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proofErr w:type="spellStart"/>
      <w:r w:rsidR="00684EFF" w:rsidRPr="003F4513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684EFF" w:rsidRPr="003F4513">
        <w:rPr>
          <w:rFonts w:ascii="Times New Roman" w:hAnsi="Times New Roman" w:cs="Times New Roman"/>
          <w:bCs/>
          <w:sz w:val="28"/>
          <w:szCs w:val="28"/>
        </w:rPr>
        <w:t xml:space="preserve"> района  и создания единой методологической базы для расчетов бюджетных ассигнований  бюджета сельского пос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>еления,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>у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твердить     </w:t>
      </w:r>
      <w:r w:rsidR="00FD4BFD" w:rsidRPr="003F4513">
        <w:rPr>
          <w:rFonts w:ascii="Times New Roman" w:hAnsi="Times New Roman" w:cs="Times New Roman"/>
          <w:bCs/>
          <w:sz w:val="28"/>
          <w:szCs w:val="28"/>
        </w:rPr>
        <w:t xml:space="preserve">методику планирования бюджетных ассигнований  бюджета муниципального образования </w:t>
      </w:r>
      <w:proofErr w:type="spellStart"/>
      <w:r w:rsidR="00FD4BFD" w:rsidRPr="003F4513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="00FD4BFD" w:rsidRPr="003F4513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proofErr w:type="spellStart"/>
      <w:r w:rsidR="00FD4BFD" w:rsidRPr="003F4513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="00FD4BFD" w:rsidRPr="003F4513"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области. Прилагается</w:t>
      </w: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CC527D" w:rsidRPr="003F4513" w:rsidRDefault="00CC527D" w:rsidP="003F451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451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C527D" w:rsidRPr="003F4513" w:rsidRDefault="001D3814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5.4pt;width:81pt;height:27pt;z-index:251660288" filled="f" stroked="f">
            <v:textbox style="mso-next-textbox:#_x0000_s1026">
              <w:txbxContent>
                <w:p w:rsidR="00CC527D" w:rsidRDefault="00CC527D" w:rsidP="00CC527D">
                  <w:pPr>
                    <w:rPr>
                      <w:position w:val="-6"/>
                    </w:rPr>
                  </w:pPr>
                  <w:r>
                    <w:rPr>
                      <w:position w:val="-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27" type="#_x0000_t202" style="position:absolute;margin-left:108pt;margin-top:5.4pt;width:90pt;height:27pt;z-index:251661312" filled="f" stroked="f">
            <v:textbox style="mso-next-textbox:#_x0000_s1027">
              <w:txbxContent>
                <w:p w:rsidR="00CC527D" w:rsidRDefault="00CC527D" w:rsidP="00CC527D">
                  <w:pPr>
                    <w:rPr>
                      <w:position w:val="-28"/>
                    </w:rPr>
                  </w:pPr>
                  <w:r>
                    <w:rPr>
                      <w:position w:val="-28"/>
                    </w:rPr>
                    <w:t xml:space="preserve">  </w:t>
                  </w:r>
                </w:p>
              </w:txbxContent>
            </v:textbox>
          </v:shape>
        </w:pict>
      </w:r>
      <w:r w:rsidR="00CC527D" w:rsidRPr="003F45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 Глава </w:t>
      </w:r>
      <w:proofErr w:type="spellStart"/>
      <w:r w:rsidRPr="003F4513">
        <w:rPr>
          <w:rFonts w:ascii="Times New Roman" w:hAnsi="Times New Roman" w:cs="Times New Roman"/>
          <w:sz w:val="28"/>
          <w:szCs w:val="28"/>
        </w:rPr>
        <w:t>Рож</w:t>
      </w:r>
      <w:r w:rsidR="00E87260">
        <w:rPr>
          <w:rFonts w:ascii="Times New Roman" w:hAnsi="Times New Roman" w:cs="Times New Roman"/>
          <w:sz w:val="28"/>
          <w:szCs w:val="28"/>
        </w:rPr>
        <w:t>кинского</w:t>
      </w:r>
      <w:proofErr w:type="spellEnd"/>
      <w:r w:rsidR="00E87260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Pr="003F4513">
        <w:rPr>
          <w:rFonts w:ascii="Times New Roman" w:hAnsi="Times New Roman" w:cs="Times New Roman"/>
          <w:sz w:val="28"/>
          <w:szCs w:val="28"/>
        </w:rPr>
        <w:t xml:space="preserve">А.Г.Беляев                                                    </w:t>
      </w:r>
    </w:p>
    <w:p w:rsidR="00CC527D" w:rsidRPr="003F4513" w:rsidRDefault="00CC527D" w:rsidP="003F45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3F45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FD4BFD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53E88" w:rsidRPr="003F4513" w:rsidRDefault="00F53E88" w:rsidP="00CC527D">
      <w:pPr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Специалист по финансам 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И бухгалтерскому учету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proofErr w:type="spellStart"/>
      <w:r w:rsidRPr="003F4513">
        <w:rPr>
          <w:rFonts w:ascii="Times New Roman" w:hAnsi="Times New Roman" w:cs="Times New Roman"/>
          <w:sz w:val="28"/>
          <w:szCs w:val="28"/>
        </w:rPr>
        <w:t>Т.В.Еноктаева</w:t>
      </w:r>
      <w:proofErr w:type="spellEnd"/>
      <w:r w:rsidRPr="003F4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Разослать: по 1 экз. в дело, в бухгалтерию в прокуратуру, контрольно-счетную комиссию района</w:t>
      </w: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CC527D">
      <w:pPr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Тел. 3-12-33</w:t>
      </w:r>
    </w:p>
    <w:p w:rsidR="00CC527D" w:rsidRPr="003F4513" w:rsidRDefault="00CC527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4BFD" w:rsidRPr="003F4513" w:rsidRDefault="00FD4BF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C527D" w:rsidRPr="003F4513" w:rsidRDefault="00CC527D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16DD4" w:rsidRPr="003F4513" w:rsidRDefault="00F53E88" w:rsidP="00E23E98">
      <w:pPr>
        <w:tabs>
          <w:tab w:val="left" w:pos="6237"/>
          <w:tab w:val="left" w:pos="637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A916CC" w:rsidRPr="003F4513">
        <w:rPr>
          <w:rFonts w:ascii="Times New Roman" w:hAnsi="Times New Roman" w:cs="Times New Roman"/>
          <w:sz w:val="28"/>
          <w:szCs w:val="28"/>
        </w:rPr>
        <w:t>УТВЕРЖДЕНА</w:t>
      </w:r>
    </w:p>
    <w:p w:rsidR="00F53E88" w:rsidRDefault="00A916CC" w:rsidP="00F53E88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     </w:t>
      </w:r>
      <w:r w:rsidR="00787F11" w:rsidRPr="003F4513">
        <w:rPr>
          <w:rFonts w:ascii="Times New Roman" w:hAnsi="Times New Roman" w:cs="Times New Roman"/>
          <w:sz w:val="28"/>
          <w:szCs w:val="28"/>
        </w:rPr>
        <w:t xml:space="preserve">     </w:t>
      </w:r>
      <w:r w:rsidR="00FD4BFD" w:rsidRPr="003F4513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gramStart"/>
      <w:r w:rsidR="00FD4BFD" w:rsidRPr="003F451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916CC" w:rsidRPr="003F4513" w:rsidRDefault="00FD4BFD" w:rsidP="00F53E88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F53E8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F451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53E88">
        <w:rPr>
          <w:rFonts w:ascii="Times New Roman" w:hAnsi="Times New Roman" w:cs="Times New Roman"/>
          <w:sz w:val="28"/>
          <w:szCs w:val="28"/>
        </w:rPr>
        <w:t xml:space="preserve">от  05.11.2014  </w:t>
      </w:r>
      <w:r w:rsidR="00A916CC" w:rsidRPr="003F4513">
        <w:rPr>
          <w:rFonts w:ascii="Times New Roman" w:hAnsi="Times New Roman" w:cs="Times New Roman"/>
          <w:sz w:val="28"/>
          <w:szCs w:val="28"/>
        </w:rPr>
        <w:t>№</w:t>
      </w:r>
      <w:r w:rsidR="00F53E88">
        <w:rPr>
          <w:rFonts w:ascii="Times New Roman" w:hAnsi="Times New Roman" w:cs="Times New Roman"/>
          <w:sz w:val="28"/>
          <w:szCs w:val="28"/>
        </w:rPr>
        <w:t xml:space="preserve"> 37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6CC" w:rsidRPr="003F4513" w:rsidRDefault="00E23E98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планирования бюджетных ассигнований бюджета</w:t>
      </w:r>
      <w:r w:rsidR="00E23E98" w:rsidRPr="003F4513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</w:t>
      </w:r>
    </w:p>
    <w:p w:rsidR="00A916CC" w:rsidRPr="003F4513" w:rsidRDefault="00A916CC" w:rsidP="00A91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6CC" w:rsidRPr="003F4513" w:rsidRDefault="00A916CC" w:rsidP="00A916CC">
      <w:pPr>
        <w:pStyle w:val="a3"/>
        <w:numPr>
          <w:ilvl w:val="0"/>
          <w:numId w:val="1"/>
        </w:numPr>
        <w:tabs>
          <w:tab w:val="left" w:pos="3402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916CC" w:rsidRPr="003F4513" w:rsidRDefault="00A916CC" w:rsidP="00A916CC">
      <w:pPr>
        <w:pStyle w:val="a3"/>
        <w:tabs>
          <w:tab w:val="left" w:pos="3402"/>
          <w:tab w:val="left" w:pos="3544"/>
          <w:tab w:val="left" w:pos="3686"/>
        </w:tabs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916CC" w:rsidRPr="003F4513" w:rsidRDefault="00A916CC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513">
        <w:rPr>
          <w:rFonts w:ascii="Times New Roman" w:hAnsi="Times New Roman" w:cs="Times New Roman"/>
          <w:sz w:val="28"/>
          <w:szCs w:val="28"/>
        </w:rPr>
        <w:t>Настоящая Методика планирования б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юджетных ассигнований </w:t>
      </w:r>
      <w:r w:rsidRPr="003F4513">
        <w:rPr>
          <w:rFonts w:ascii="Times New Roman" w:hAnsi="Times New Roman" w:cs="Times New Roman"/>
          <w:sz w:val="28"/>
          <w:szCs w:val="28"/>
        </w:rPr>
        <w:t>бюджета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A26031" w:rsidRPr="003F45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26031"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A26031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E23E98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23E98" w:rsidRPr="003F45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26031" w:rsidRPr="003F4513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3F451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-</w:t>
      </w:r>
      <w:r w:rsidRPr="003F4513">
        <w:rPr>
          <w:rFonts w:ascii="Times New Roman" w:hAnsi="Times New Roman" w:cs="Times New Roman"/>
          <w:sz w:val="28"/>
          <w:szCs w:val="28"/>
        </w:rPr>
        <w:t xml:space="preserve"> Методика) разработана в соответствии со статьей 174.2 Бюджетного кодекса Российской Федерации и </w:t>
      </w:r>
      <w:r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бюджетном процессе в муниципальном образовании </w:t>
      </w:r>
      <w:proofErr w:type="spellStart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Рожкинское</w:t>
      </w:r>
      <w:proofErr w:type="spellEnd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области, утвержденного решением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сельской  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Думы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Рожкинского</w:t>
      </w:r>
      <w:proofErr w:type="spellEnd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12.11.2013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5026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«О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 процессе в</w:t>
      </w:r>
      <w:proofErr w:type="gramEnd"/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муниципальном образовании </w:t>
      </w:r>
      <w:proofErr w:type="spellStart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Рожкинское</w:t>
      </w:r>
      <w:proofErr w:type="spellEnd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</w:t>
      </w:r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proofErr w:type="spellEnd"/>
      <w:r w:rsidR="00A26031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Кировской области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D5D0A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185" w:rsidRPr="003F4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4513">
        <w:rPr>
          <w:rFonts w:ascii="Times New Roman" w:hAnsi="Times New Roman" w:cs="Times New Roman"/>
          <w:sz w:val="28"/>
          <w:szCs w:val="28"/>
        </w:rPr>
        <w:t>и определяет порядок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расчета бюджетных ассигнований в целях составления проекта бюджета</w:t>
      </w:r>
      <w:r w:rsidR="00E5026A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E5026A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5026A" w:rsidRPr="003F45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на очередной финансовый</w:t>
      </w:r>
      <w:r w:rsidR="004A7871" w:rsidRPr="003F4513">
        <w:rPr>
          <w:rFonts w:ascii="Times New Roman" w:hAnsi="Times New Roman" w:cs="Times New Roman"/>
          <w:sz w:val="28"/>
          <w:szCs w:val="28"/>
        </w:rPr>
        <w:t xml:space="preserve"> год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и плановый период.</w:t>
      </w:r>
      <w:proofErr w:type="gramEnd"/>
    </w:p>
    <w:p w:rsidR="007066B1" w:rsidRPr="003F4513" w:rsidRDefault="007066B1" w:rsidP="007066B1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66B1" w:rsidRPr="003F4513" w:rsidRDefault="007066B1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513">
        <w:rPr>
          <w:rFonts w:ascii="Times New Roman" w:hAnsi="Times New Roman" w:cs="Times New Roman"/>
          <w:sz w:val="28"/>
          <w:szCs w:val="28"/>
        </w:rPr>
        <w:t>Планирование бюджетных ассигнований бюджета</w:t>
      </w:r>
      <w:r w:rsidR="00E23E98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 </w:t>
      </w:r>
      <w:r w:rsidR="00E23E98" w:rsidRPr="003F4513">
        <w:rPr>
          <w:rFonts w:ascii="Times New Roman" w:hAnsi="Times New Roman" w:cs="Times New Roman"/>
          <w:sz w:val="28"/>
          <w:szCs w:val="28"/>
        </w:rPr>
        <w:t>района</w:t>
      </w:r>
      <w:r w:rsidRPr="003F451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- </w:t>
      </w:r>
      <w:r w:rsidRPr="003F4513">
        <w:rPr>
          <w:rFonts w:ascii="Times New Roman" w:hAnsi="Times New Roman" w:cs="Times New Roman"/>
          <w:sz w:val="28"/>
          <w:szCs w:val="28"/>
        </w:rPr>
        <w:t>бюджетные ассигнования) осуществляется в соответствии с расходными обязательствами, установленными федеральным законодательством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, </w:t>
      </w:r>
      <w:r w:rsidRPr="003F4513">
        <w:rPr>
          <w:rFonts w:ascii="Times New Roman" w:hAnsi="Times New Roman" w:cs="Times New Roman"/>
          <w:sz w:val="28"/>
          <w:szCs w:val="28"/>
        </w:rPr>
        <w:t>законами Кировской области, нормативными правовыми актами Правительства Кировской области,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 реше</w:t>
      </w:r>
      <w:r w:rsidR="00137AAA" w:rsidRPr="003F4513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BE75F4" w:rsidRPr="003F4513">
        <w:rPr>
          <w:rFonts w:ascii="Times New Roman" w:hAnsi="Times New Roman" w:cs="Times New Roman"/>
          <w:sz w:val="28"/>
          <w:szCs w:val="28"/>
        </w:rPr>
        <w:t>сельской</w:t>
      </w:r>
      <w:r w:rsidR="00137AAA" w:rsidRPr="003F4513">
        <w:rPr>
          <w:rFonts w:ascii="Times New Roman" w:hAnsi="Times New Roman" w:cs="Times New Roman"/>
          <w:sz w:val="28"/>
          <w:szCs w:val="28"/>
        </w:rPr>
        <w:t xml:space="preserve"> Думы, нормативными</w:t>
      </w:r>
      <w:r w:rsidR="00D70153" w:rsidRPr="003F4513">
        <w:rPr>
          <w:rFonts w:ascii="Times New Roman" w:hAnsi="Times New Roman" w:cs="Times New Roman"/>
          <w:sz w:val="28"/>
          <w:szCs w:val="28"/>
        </w:rPr>
        <w:t xml:space="preserve">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правовыми актами администрации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35271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35271" w:rsidRPr="003F4513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3F4513">
        <w:rPr>
          <w:rFonts w:ascii="Times New Roman" w:hAnsi="Times New Roman" w:cs="Times New Roman"/>
          <w:sz w:val="28"/>
          <w:szCs w:val="28"/>
        </w:rPr>
        <w:t xml:space="preserve"> договорами и соглашениями, заключенными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435271" w:rsidRPr="003F4513">
        <w:rPr>
          <w:rFonts w:ascii="Times New Roman" w:hAnsi="Times New Roman" w:cs="Times New Roman"/>
          <w:sz w:val="28"/>
          <w:szCs w:val="28"/>
        </w:rPr>
        <w:t>Малмыжск</w:t>
      </w:r>
      <w:r w:rsidR="00BE75F4" w:rsidRPr="003F451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 или  от его</w:t>
      </w:r>
      <w:r w:rsidRPr="003F4513">
        <w:rPr>
          <w:rFonts w:ascii="Times New Roman" w:hAnsi="Times New Roman" w:cs="Times New Roman"/>
          <w:sz w:val="28"/>
          <w:szCs w:val="28"/>
        </w:rPr>
        <w:t xml:space="preserve"> имени уполномоченными</w:t>
      </w:r>
      <w:proofErr w:type="gramEnd"/>
      <w:r w:rsidRPr="003F4513">
        <w:rPr>
          <w:rFonts w:ascii="Times New Roman" w:hAnsi="Times New Roman" w:cs="Times New Roman"/>
          <w:sz w:val="28"/>
          <w:szCs w:val="28"/>
        </w:rPr>
        <w:t xml:space="preserve"> органами, исполнение которых должно происходить в очередном финансовом году (в очередном финансовом году и пл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ановом периоде) за счет средств бюджета </w:t>
      </w:r>
      <w:r w:rsidR="00BE75F4" w:rsidRPr="003F45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BE75F4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E75F4" w:rsidRPr="003F4513">
        <w:rPr>
          <w:rFonts w:ascii="Times New Roman" w:hAnsi="Times New Roman" w:cs="Times New Roman"/>
          <w:sz w:val="28"/>
          <w:szCs w:val="28"/>
        </w:rPr>
        <w:t xml:space="preserve">  </w:t>
      </w:r>
      <w:r w:rsidR="00435271" w:rsidRPr="003F45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F4513">
        <w:rPr>
          <w:rFonts w:ascii="Times New Roman" w:hAnsi="Times New Roman" w:cs="Times New Roman"/>
          <w:sz w:val="28"/>
          <w:szCs w:val="28"/>
        </w:rPr>
        <w:t>(за исключением целевых межбюджетных трансфертов).</w:t>
      </w:r>
    </w:p>
    <w:p w:rsidR="007066B1" w:rsidRPr="003F4513" w:rsidRDefault="007066B1" w:rsidP="007066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66B1" w:rsidRPr="003F4513" w:rsidRDefault="007066B1" w:rsidP="00A916C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>Настоящая Методика применяется:</w:t>
      </w:r>
    </w:p>
    <w:p w:rsidR="007066B1" w:rsidRDefault="00BE75F4" w:rsidP="007066B1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513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proofErr w:type="spellStart"/>
      <w:r w:rsidRPr="003F451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3F4513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r w:rsidR="007066B1" w:rsidRPr="003F4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6B1" w:rsidRPr="003F45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066B1" w:rsidRPr="003F4513">
        <w:rPr>
          <w:rFonts w:ascii="Times New Roman" w:hAnsi="Times New Roman" w:cs="Times New Roman"/>
          <w:sz w:val="28"/>
          <w:szCs w:val="28"/>
        </w:rPr>
        <w:t xml:space="preserve"> ра</w:t>
      </w:r>
      <w:r w:rsidR="007066B1">
        <w:rPr>
          <w:rFonts w:ascii="Times New Roman" w:hAnsi="Times New Roman" w:cs="Times New Roman"/>
          <w:sz w:val="28"/>
          <w:szCs w:val="28"/>
        </w:rPr>
        <w:t>йона – для определения предельных объемов бюджетных ассигнований по главным распорядителям средств бюджета</w:t>
      </w:r>
      <w:r w:rsidR="00435271">
        <w:rPr>
          <w:rFonts w:ascii="Times New Roman" w:hAnsi="Times New Roman" w:cs="Times New Roman"/>
          <w:sz w:val="28"/>
          <w:szCs w:val="28"/>
        </w:rPr>
        <w:t xml:space="preserve"> </w:t>
      </w:r>
      <w:r w:rsidR="00B3371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B3371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B337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33715">
        <w:rPr>
          <w:rFonts w:ascii="Times New Roman" w:hAnsi="Times New Roman" w:cs="Times New Roman"/>
          <w:sz w:val="28"/>
          <w:szCs w:val="28"/>
        </w:rPr>
        <w:t xml:space="preserve"> </w:t>
      </w:r>
      <w:r w:rsidR="00435271">
        <w:rPr>
          <w:rFonts w:ascii="Times New Roman" w:hAnsi="Times New Roman" w:cs="Times New Roman"/>
          <w:sz w:val="28"/>
          <w:szCs w:val="28"/>
        </w:rPr>
        <w:t>района</w:t>
      </w:r>
      <w:r w:rsidR="005636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</w:t>
      </w:r>
      <w:r w:rsidR="009D5ED1">
        <w:rPr>
          <w:rFonts w:ascii="Times New Roman" w:hAnsi="Times New Roman" w:cs="Times New Roman"/>
          <w:sz w:val="28"/>
          <w:szCs w:val="28"/>
        </w:rPr>
        <w:t xml:space="preserve">на </w:t>
      </w:r>
      <w:r w:rsidR="009D5ED1">
        <w:rPr>
          <w:rFonts w:ascii="Times New Roman" w:hAnsi="Times New Roman" w:cs="Times New Roman"/>
          <w:sz w:val="28"/>
          <w:szCs w:val="28"/>
        </w:rPr>
        <w:lastRenderedPageBreak/>
        <w:t xml:space="preserve">очередной финансовый год и на плановый период) с учетом нормативных затрат и индексов изменения соответствующих бюджетных расходов, </w:t>
      </w:r>
    </w:p>
    <w:p w:rsidR="009D5ED1" w:rsidRDefault="009D5ED1" w:rsidP="007066B1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распорядителями средств бюджета</w:t>
      </w:r>
      <w:r w:rsidR="00B337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3371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 w:rsidR="00B337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3371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для определения объемов бюджетных ассигнований для подведомственных муниципальных учреждений – с учетом утвержденных ими порядков формирования нормативных финансовых затрат на оказание муниципальными учреждениями  муниципальных услуг (выполнение работ) в соответствии с муниципальным заданием.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5ED1" w:rsidRDefault="009D5ED1" w:rsidP="009D5ED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D5ED1" w:rsidRDefault="009D5ED1" w:rsidP="009D5ED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приведенных ниже  формулах обозначение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означает  соответствующий финансовый год, на который осуществляется планирование</w:t>
      </w:r>
      <w:r w:rsidR="00D129B1">
        <w:rPr>
          <w:rFonts w:ascii="Times New Roman" w:hAnsi="Times New Roman" w:cs="Times New Roman"/>
          <w:sz w:val="28"/>
          <w:szCs w:val="28"/>
        </w:rPr>
        <w:t xml:space="preserve"> бюджетных ассигнований, </w:t>
      </w:r>
      <w:r w:rsidR="00D129B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D129B1">
        <w:rPr>
          <w:rFonts w:ascii="Times New Roman" w:hAnsi="Times New Roman" w:cs="Times New Roman"/>
          <w:sz w:val="28"/>
          <w:szCs w:val="28"/>
        </w:rPr>
        <w:t xml:space="preserve"> – вид объемного показателя, используемого при расчетах, и </w:t>
      </w:r>
      <w:r w:rsidR="00D129B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129B1" w:rsidRPr="00D129B1">
        <w:rPr>
          <w:rFonts w:ascii="Times New Roman" w:hAnsi="Times New Roman" w:cs="Times New Roman"/>
          <w:sz w:val="28"/>
          <w:szCs w:val="28"/>
        </w:rPr>
        <w:t xml:space="preserve"> </w:t>
      </w:r>
      <w:r w:rsidR="00D129B1">
        <w:rPr>
          <w:rFonts w:ascii="Times New Roman" w:hAnsi="Times New Roman" w:cs="Times New Roman"/>
          <w:sz w:val="28"/>
          <w:szCs w:val="28"/>
        </w:rPr>
        <w:t>–</w:t>
      </w:r>
      <w:r w:rsidR="00D129B1" w:rsidRPr="00D129B1">
        <w:rPr>
          <w:rFonts w:ascii="Times New Roman" w:hAnsi="Times New Roman" w:cs="Times New Roman"/>
          <w:sz w:val="28"/>
          <w:szCs w:val="28"/>
        </w:rPr>
        <w:t xml:space="preserve"> </w:t>
      </w:r>
      <w:r w:rsidR="00D129B1">
        <w:rPr>
          <w:rFonts w:ascii="Times New Roman" w:hAnsi="Times New Roman" w:cs="Times New Roman"/>
          <w:sz w:val="28"/>
          <w:szCs w:val="28"/>
        </w:rPr>
        <w:t>количество видов объемных показателей.</w:t>
      </w:r>
    </w:p>
    <w:p w:rsidR="00D129B1" w:rsidRDefault="00D129B1" w:rsidP="00D129B1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9B1" w:rsidRDefault="00D129B1" w:rsidP="00D129B1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Планирование бюджетных ассигнований бюджета</w:t>
      </w:r>
      <w:r w:rsidR="00435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71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B33715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="00B3371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="00B3371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="00B33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271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исполнение действующих обязательств</w:t>
      </w:r>
    </w:p>
    <w:p w:rsidR="00D129B1" w:rsidRDefault="00D129B1" w:rsidP="00D129B1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9B1" w:rsidRDefault="00D129B1" w:rsidP="00D129B1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оказание муниципальных услуг (выполнение работ) осуществляется по следующим направлениям:</w:t>
      </w:r>
    </w:p>
    <w:p w:rsidR="00D129B1" w:rsidRDefault="00D129B1" w:rsidP="00D129B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функций му</w:t>
      </w:r>
      <w:r w:rsidR="008B3643">
        <w:rPr>
          <w:rFonts w:ascii="Times New Roman" w:hAnsi="Times New Roman" w:cs="Times New Roman"/>
          <w:sz w:val="28"/>
          <w:szCs w:val="28"/>
        </w:rPr>
        <w:t>ниципальных казенных учреждений;</w:t>
      </w:r>
    </w:p>
    <w:p w:rsidR="008B3643" w:rsidRDefault="008B3643" w:rsidP="00D129B1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бюджетных инвестиций в объекты </w:t>
      </w:r>
      <w:r w:rsidR="00137AA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B337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3371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3371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AA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37AA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643" w:rsidRDefault="008B3643" w:rsidP="00E514CA">
      <w:pPr>
        <w:pStyle w:val="a3"/>
        <w:numPr>
          <w:ilvl w:val="1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обеспечение выполнения функций</w:t>
      </w:r>
      <w:r w:rsidR="00E514CA">
        <w:rPr>
          <w:rFonts w:ascii="Times New Roman" w:hAnsi="Times New Roman" w:cs="Times New Roman"/>
          <w:sz w:val="28"/>
          <w:szCs w:val="28"/>
        </w:rPr>
        <w:t xml:space="preserve"> муниципальных казенных учреждений определяется:</w:t>
      </w:r>
    </w:p>
    <w:p w:rsidR="00E514CA" w:rsidRDefault="00E514CA" w:rsidP="00E514CA">
      <w:pPr>
        <w:pStyle w:val="a3"/>
        <w:numPr>
          <w:ilvl w:val="2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основе нормативного метода расчета бюджетных ассигнований в случае, когда до муниципальных казенных учреждений доводится муниципальное задание, по каждой оказываемой ими </w:t>
      </w:r>
      <w:r w:rsidR="00435271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услуге (выполняемой работе) из числа включенных в Перечень муниципальных услуг (выполнения работ), по которым должен производиться учет потребности в их предоставлении (выполнении) (далее – Перечень </w:t>
      </w:r>
      <w:r w:rsidR="0043527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услуг), по следующей формуле:</w:t>
      </w:r>
      <w:proofErr w:type="gramEnd"/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14CA" w:rsidRDefault="001D3814" w:rsidP="00E514CA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d>
              </m:e>
            </m:d>
          </m:e>
        </m:nary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       (1), где:</w:t>
      </w:r>
    </w:p>
    <w:p w:rsidR="00F179EE" w:rsidRDefault="00F179EE" w:rsidP="00E514CA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C0B6B" w:rsidRDefault="001D3814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ГУ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proofErr w:type="spellStart"/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5C0B6B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5C0B6B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 финансовом году на обеспечение выполнения функций муниципальных казенных учреждений, связанных с оказанием ими муниципальных услуг (выполнением работ)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-го вида, </w:t>
      </w:r>
      <w:proofErr w:type="gramStart"/>
      <w:r w:rsidR="005C0B6B">
        <w:rPr>
          <w:rFonts w:ascii="Times New Roman" w:eastAsiaTheme="minorEastAsia" w:hAnsi="Times New Roman" w:cs="Times New Roman"/>
          <w:sz w:val="28"/>
          <w:szCs w:val="28"/>
        </w:rPr>
        <w:t>включенной</w:t>
      </w:r>
      <w:proofErr w:type="gramEnd"/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в Перечень муниципальных услуг;</w:t>
      </w:r>
    </w:p>
    <w:p w:rsidR="005C0B6B" w:rsidRDefault="001D3814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– нормативные затраты, связанные с оказанием муниципальной услуги (выполнением работ) </w:t>
      </w:r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>-го вида, включенной в Перечень муниципальных услуг;</w:t>
      </w:r>
    </w:p>
    <w:p w:rsidR="005C0B6B" w:rsidRDefault="001D3814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З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</m:d>
      </m:oMath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- показатель, характеризующий в </w:t>
      </w:r>
      <w:proofErr w:type="spellStart"/>
      <w:r w:rsidR="005C0B6B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5C0B6B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5C0B6B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5C0B6B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объем оказываемой муниципальной услуги (выполняемой работе), утвержденный постановлением администрации </w:t>
      </w:r>
      <w:proofErr w:type="spellStart"/>
      <w:r w:rsidR="00B33715">
        <w:rPr>
          <w:rFonts w:ascii="Times New Roman" w:eastAsiaTheme="minorEastAsia" w:hAnsi="Times New Roman" w:cs="Times New Roman"/>
          <w:sz w:val="28"/>
          <w:szCs w:val="28"/>
        </w:rPr>
        <w:t>Рожкинского</w:t>
      </w:r>
      <w:proofErr w:type="spellEnd"/>
      <w:r w:rsidR="00B33715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  <w:r w:rsidR="005C0B6B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046A2" w:rsidRDefault="001D3814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 в </w:t>
      </w:r>
      <w:proofErr w:type="spellStart"/>
      <w:r w:rsidR="008046A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046A2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046A2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оплату коммунальных услуг муниципальных казенных учреждений, рассчитываемые по формуле 5 (6) настоящей Методики;</w:t>
      </w:r>
    </w:p>
    <w:p w:rsidR="008046A2" w:rsidRDefault="001D3814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proofErr w:type="spellStart"/>
      <w:r w:rsidR="008046A2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046A2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046A2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уплату муниципальными казенными учреждениями налогов, в качестве объекта налогообложения по которым признается соответствующее имущество, в том числе земельные участки, определяемые в соответствии с данными, представленными в финансовое управление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Малмыжского района отделом 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по управлению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муниципальным 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>имуществом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 и земельными ресурсами</w:t>
      </w:r>
      <w:r w:rsidR="008046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Малмыжского района.</w:t>
      </w:r>
    </w:p>
    <w:p w:rsidR="008046A2" w:rsidRDefault="008046A2" w:rsidP="005C0B6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046A2" w:rsidRPr="00755353" w:rsidRDefault="008046A2" w:rsidP="008046A2">
      <w:pPr>
        <w:pStyle w:val="a3"/>
        <w:numPr>
          <w:ilvl w:val="2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 основе метода индексации расчета бюджетных ассигнований в случае, когда до муниципальных казенных учреждений муниципальное задание не доводится, по следующей формуле:</w:t>
      </w:r>
    </w:p>
    <w:p w:rsidR="00755353" w:rsidRPr="008046A2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46A2" w:rsidRDefault="001D3814" w:rsidP="00D34A86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34A86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34A86">
        <w:rPr>
          <w:rFonts w:ascii="Times New Roman" w:eastAsiaTheme="minorEastAsia" w:hAnsi="Times New Roman" w:cs="Times New Roman"/>
          <w:sz w:val="28"/>
          <w:szCs w:val="28"/>
        </w:rPr>
        <w:t>(2)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34A86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08766E" w:rsidRDefault="0008766E" w:rsidP="0008766E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34A86" w:rsidRDefault="001D3814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КУ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1F6BE3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обеспечение выполнения функций муниципальных казенных учреждений;</w:t>
      </w:r>
    </w:p>
    <w:p w:rsidR="00E40451" w:rsidRDefault="001D3814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оплату труда работников муниципальных казенных учреждений, рассчитываемые по следующей формуле:</w:t>
      </w:r>
    </w:p>
    <w:p w:rsidR="00755353" w:rsidRDefault="00755353" w:rsidP="001F6BE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40451" w:rsidRDefault="001D3814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(3)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755353" w:rsidRDefault="00755353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40451" w:rsidRDefault="001D3814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плановый фонд оплаты труда работников муниципальных казенных учреждений на текущий год;</w:t>
      </w:r>
    </w:p>
    <w:p w:rsidR="00E40451" w:rsidRDefault="001D3814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коэффициент </w:t>
      </w:r>
      <w:proofErr w:type="gramStart"/>
      <w:r w:rsidR="00E40451">
        <w:rPr>
          <w:rFonts w:ascii="Times New Roman" w:eastAsiaTheme="minorEastAsia" w:hAnsi="Times New Roman" w:cs="Times New Roman"/>
          <w:sz w:val="28"/>
          <w:szCs w:val="28"/>
        </w:rPr>
        <w:t>индексации фонда оплаты труда работников муниципальных казенных учреждений</w:t>
      </w:r>
      <w:proofErr w:type="gramEnd"/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E40451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E40451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году,  исходя из сроков и размеров повышения фонда оплаты работников, и применяемые в случае принятия Правительством области соответствующего решения;</w:t>
      </w:r>
    </w:p>
    <w:p w:rsidR="00E40451" w:rsidRDefault="001D3814" w:rsidP="00E40451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841C2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841C21">
        <w:rPr>
          <w:rFonts w:ascii="Times New Roman" w:eastAsiaTheme="minorEastAsia" w:hAnsi="Times New Roman" w:cs="Times New Roman"/>
          <w:sz w:val="28"/>
          <w:szCs w:val="28"/>
        </w:rPr>
        <w:t xml:space="preserve">- бюджетные ассигнования в </w:t>
      </w:r>
      <w:proofErr w:type="spellStart"/>
      <w:r w:rsidR="00841C2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41C2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41C21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41C21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уплату страховых взносов в Пенсионный фонд Российской Федерации на обязательное пенсионное страхование,</w:t>
      </w:r>
      <w:r w:rsidR="00FE0317">
        <w:rPr>
          <w:rFonts w:ascii="Times New Roman" w:eastAsiaTheme="minorEastAsia" w:hAnsi="Times New Roman" w:cs="Times New Roman"/>
          <w:sz w:val="28"/>
          <w:szCs w:val="28"/>
        </w:rPr>
        <w:t xml:space="preserve"> Фонд социального страхования Российской Федерации</w:t>
      </w:r>
      <w:r w:rsidR="006879B3">
        <w:rPr>
          <w:rFonts w:ascii="Times New Roman" w:eastAsiaTheme="minorEastAsia" w:hAnsi="Times New Roman" w:cs="Times New Roman"/>
          <w:sz w:val="28"/>
          <w:szCs w:val="28"/>
        </w:rPr>
        <w:t xml:space="preserve"> на обязательное социальное страхование на случай временной нетрудоспособности и в связи с материнством, Федеральный фонд обязательного медицинского 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</w:t>
      </w:r>
      <w:proofErr w:type="gramEnd"/>
      <w:r w:rsidR="006879B3">
        <w:rPr>
          <w:rFonts w:ascii="Times New Roman" w:eastAsiaTheme="minorEastAsia" w:hAnsi="Times New Roman" w:cs="Times New Roman"/>
          <w:sz w:val="28"/>
          <w:szCs w:val="28"/>
        </w:rPr>
        <w:t xml:space="preserve"> от несчастных случаев на производстве и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профессиональных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lastRenderedPageBreak/>
        <w:t>заболеваний (далее – страховые взносы), рассчитываемые по следующей формуле:</w:t>
      </w:r>
    </w:p>
    <w:p w:rsidR="00755353" w:rsidRDefault="001D3814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 xml:space="preserve">БА 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Н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i</m:t>
            </m: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e>
        </m:d>
        <m: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БА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ЗП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e>
            </m:d>
            <m:r>
              <w:rPr>
                <w:rFonts w:ascii="Cambria Math" w:hAnsi="Cambria Math" w:cs="Times New Roman"/>
                <w:sz w:val="32"/>
                <w:szCs w:val="32"/>
              </w:rPr>
              <m:t>×Т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100</m:t>
            </m:r>
          </m:den>
        </m:f>
      </m:oMath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  (4)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755353" w:rsidRP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14CA" w:rsidRDefault="001D3814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ЗП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755353" w:rsidRPr="007553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proofErr w:type="spellStart"/>
      <w:r w:rsidR="007553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55353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755353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оплату труда работников муниципальных казенных учреждений, рассчитанные по формуле 3 настоящей Методики;</w:t>
      </w:r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5E72">
        <w:rPr>
          <w:rFonts w:ascii="Times New Roman" w:eastAsiaTheme="minorEastAsia" w:hAnsi="Times New Roman" w:cs="Times New Roman"/>
          <w:sz w:val="24"/>
          <w:szCs w:val="24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тарифы страховых взносов (страховые тарифы), установленные соответствующими федеральными законами;</w:t>
      </w:r>
    </w:p>
    <w:p w:rsidR="00755353" w:rsidRDefault="00755353" w:rsidP="00755353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514CA" w:rsidRDefault="001D3814" w:rsidP="00755353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– бюджетные ассигнования в </w:t>
      </w:r>
      <w:proofErr w:type="spellStart"/>
      <w:r w:rsidR="007553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755353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755353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755353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оплату  коммунальных услуг муниципальных казенных учреждений, рассчитываемые по следующим формулам:</w:t>
      </w:r>
    </w:p>
    <w:p w:rsidR="00B81565" w:rsidRDefault="00B81565" w:rsidP="00755353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55353" w:rsidRDefault="00755353" w:rsidP="00755353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у муниципальных казенных учреждений приборов учета:</w:t>
      </w:r>
    </w:p>
    <w:p w:rsidR="00AC38FE" w:rsidRDefault="00AC38FE" w:rsidP="00AC38FE">
      <w:pPr>
        <w:pStyle w:val="a3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353" w:rsidRDefault="001D3814" w:rsidP="00755353">
      <w:pPr>
        <w:pStyle w:val="a3"/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8"/>
            <w:szCs w:val="28"/>
          </w:rPr>
          <m:t>))</m:t>
        </m:r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(5)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AC38FE" w:rsidRDefault="00AC38FE" w:rsidP="00755353">
      <w:pPr>
        <w:pStyle w:val="a3"/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8FE" w:rsidRDefault="001D3814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объем фактически потребленных муниципальными казенными учреждениями ресурсов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>-го вида в отчетном году;</w:t>
      </w:r>
    </w:p>
    <w:p w:rsidR="00AC38FE" w:rsidRDefault="001D3814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Т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j</m:t>
            </m:r>
          </m:sup>
        </m:sSup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тариф (цена) на ресурс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>-го вида (с учетом налога на добавленную стоимость) в текущем финансовом году;</w:t>
      </w:r>
    </w:p>
    <w:p w:rsidR="00AC38FE" w:rsidRDefault="001D3814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индекс изменения тарифов (цен) на ресурс </w:t>
      </w:r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AC38FE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proofErr w:type="spellStart"/>
      <w:r w:rsidR="00AC38F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9A53AA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9A53AA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9A53AA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году.</w:t>
      </w:r>
    </w:p>
    <w:p w:rsidR="00AC38FE" w:rsidRDefault="00AC38FE" w:rsidP="00AC38FE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C38FE" w:rsidRDefault="00AC38FE" w:rsidP="00AC38FE">
      <w:pPr>
        <w:pStyle w:val="a3"/>
        <w:numPr>
          <w:ilvl w:val="0"/>
          <w:numId w:val="4"/>
        </w:numPr>
        <w:tabs>
          <w:tab w:val="left" w:pos="709"/>
          <w:tab w:val="left" w:pos="127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у муниципальных казенных учреждений приборов учета:</w:t>
      </w:r>
    </w:p>
    <w:p w:rsidR="00AC38FE" w:rsidRDefault="001D3814" w:rsidP="009B10EC">
      <w:pPr>
        <w:pStyle w:val="a3"/>
        <w:tabs>
          <w:tab w:val="left" w:pos="709"/>
          <w:tab w:val="left" w:pos="127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</m:oMath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(6)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B10EC" w:rsidRPr="009B10EC">
        <w:rPr>
          <w:rFonts w:ascii="Times New Roman" w:hAnsi="Times New Roman" w:cs="Times New Roman"/>
          <w:sz w:val="28"/>
          <w:szCs w:val="28"/>
        </w:rPr>
        <w:t>где</w:t>
      </w:r>
      <w:r w:rsidR="009B10EC">
        <w:rPr>
          <w:rFonts w:ascii="Times New Roman" w:hAnsi="Times New Roman" w:cs="Times New Roman"/>
          <w:sz w:val="28"/>
          <w:szCs w:val="28"/>
        </w:rPr>
        <w:t>:</w:t>
      </w:r>
    </w:p>
    <w:p w:rsidR="006948E8" w:rsidRDefault="006948E8" w:rsidP="009B10EC">
      <w:pPr>
        <w:pStyle w:val="a3"/>
        <w:tabs>
          <w:tab w:val="left" w:pos="709"/>
          <w:tab w:val="left" w:pos="127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B10EC" w:rsidRDefault="001D3814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9B10EC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на оплату ресурса </w:t>
      </w:r>
      <w:r w:rsidR="009B10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9B10EC">
        <w:rPr>
          <w:rFonts w:ascii="Times New Roman" w:eastAsiaTheme="minorEastAsia" w:hAnsi="Times New Roman" w:cs="Times New Roman"/>
          <w:sz w:val="28"/>
          <w:szCs w:val="28"/>
        </w:rPr>
        <w:t>-го вида в текущем году;</w:t>
      </w:r>
    </w:p>
    <w:p w:rsidR="009B10EC" w:rsidRDefault="001D3814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К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- среднегодовой индекс изменения тарифов (цен) на ресурс </w:t>
      </w:r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proofErr w:type="spellStart"/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6948E8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948E8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году, рассчитываемый  администраци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ей </w:t>
      </w:r>
      <w:proofErr w:type="spellStart"/>
      <w:r w:rsidR="00240B0E">
        <w:rPr>
          <w:rFonts w:ascii="Times New Roman" w:eastAsiaTheme="minorEastAsia" w:hAnsi="Times New Roman" w:cs="Times New Roman"/>
          <w:sz w:val="28"/>
          <w:szCs w:val="28"/>
        </w:rPr>
        <w:t>Рожкинского</w:t>
      </w:r>
      <w:proofErr w:type="spell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6948E8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района, исходя из сроков и размеров повышения тарифов (цен);</w:t>
      </w:r>
    </w:p>
    <w:p w:rsidR="006948E8" w:rsidRDefault="006948E8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948E8" w:rsidRDefault="001D3814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</w:t>
      </w:r>
      <w:proofErr w:type="spellStart"/>
      <w:r w:rsidR="006948E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6948E8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948E8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муниципальных  казенных учреждений на оплату поставок товаров, выполнения работ, оказания услуг для муниципальных нужд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40B0E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240B0E">
        <w:rPr>
          <w:rFonts w:ascii="Times New Roman" w:eastAsiaTheme="minorEastAsia" w:hAnsi="Times New Roman" w:cs="Times New Roman"/>
          <w:sz w:val="28"/>
          <w:szCs w:val="28"/>
        </w:rPr>
        <w:t>сельское</w:t>
      </w:r>
      <w:proofErr w:type="gram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поселения </w:t>
      </w:r>
      <w:proofErr w:type="spellStart"/>
      <w:r w:rsidR="00137AAA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137AAA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6948E8">
        <w:rPr>
          <w:rFonts w:ascii="Times New Roman" w:eastAsiaTheme="minorEastAsia" w:hAnsi="Times New Roman" w:cs="Times New Roman"/>
          <w:sz w:val="28"/>
          <w:szCs w:val="28"/>
        </w:rPr>
        <w:t xml:space="preserve"> (за исключением бюджетных ассигнований на оплату коммунальных услуг), рассчитываемые по следующей формуле:</w:t>
      </w:r>
    </w:p>
    <w:p w:rsidR="00B81565" w:rsidRDefault="00B81565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948E8" w:rsidRDefault="001D3814" w:rsidP="00066732">
      <w:pPr>
        <w:tabs>
          <w:tab w:val="left" w:pos="709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b>
        </m:sSub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(7)</w:t>
      </w:r>
      <w:r w:rsidR="00DE5E72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066732" w:rsidRPr="00066732" w:rsidRDefault="001D3814" w:rsidP="009B10EC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МЗ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- бюджетные ассигнования в текущем финансовом году муниципальных казенных учреждений на оплату поставок товаров, выполнения работ, оказания услуг для муниципальных нужд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40B0E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Start"/>
      <w:r w:rsidR="00240B0E">
        <w:rPr>
          <w:rFonts w:ascii="Times New Roman" w:eastAsiaTheme="minorEastAsia" w:hAnsi="Times New Roman" w:cs="Times New Roman"/>
          <w:sz w:val="28"/>
          <w:szCs w:val="28"/>
        </w:rPr>
        <w:t>сельское</w:t>
      </w:r>
      <w:proofErr w:type="gram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поселения </w:t>
      </w:r>
      <w:proofErr w:type="spellStart"/>
      <w:r w:rsidR="00306686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lastRenderedPageBreak/>
        <w:t>района</w:t>
      </w:r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(за  исключением бюджетных ассигнований на оплату коммунальных услуг);</w:t>
      </w:r>
    </w:p>
    <w:p w:rsidR="00066732" w:rsidRDefault="00066732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732" w:rsidRDefault="001D3814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НС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066732">
        <w:rPr>
          <w:rFonts w:ascii="Times New Roman" w:eastAsiaTheme="minorEastAsia" w:hAnsi="Times New Roman" w:cs="Times New Roman"/>
          <w:sz w:val="28"/>
          <w:szCs w:val="28"/>
        </w:rPr>
        <w:t xml:space="preserve">- бюджетные ассигнования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proofErr w:type="spellStart"/>
      <w:r w:rsidR="00F86CB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F86CB7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F86CB7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уплату муниципальными</w:t>
      </w:r>
      <w:r w:rsidR="000B36CF">
        <w:rPr>
          <w:rFonts w:ascii="Times New Roman" w:eastAsiaTheme="minorEastAsia" w:hAnsi="Times New Roman" w:cs="Times New Roman"/>
          <w:sz w:val="28"/>
          <w:szCs w:val="28"/>
        </w:rPr>
        <w:t xml:space="preserve"> казенными учреждениями налогов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, в качестве объекта налогообложения по которым признается соответствующее имущество, в том числе земельные участки, определяемые в соответствии с данными, представленными в  администрации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МО </w:t>
      </w:r>
      <w:proofErr w:type="spellStart"/>
      <w:r w:rsidR="00240B0E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F86CB7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района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>отделом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по управлению 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муниципальным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имуществом</w:t>
      </w:r>
      <w:r w:rsidR="00306686">
        <w:rPr>
          <w:rFonts w:ascii="Times New Roman" w:eastAsiaTheme="minorEastAsia" w:hAnsi="Times New Roman" w:cs="Times New Roman"/>
          <w:sz w:val="28"/>
          <w:szCs w:val="28"/>
        </w:rPr>
        <w:t xml:space="preserve"> и земельными ресурсами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Малмыжского района.</w:t>
      </w:r>
      <w:proofErr w:type="gramEnd"/>
    </w:p>
    <w:p w:rsidR="00F86CB7" w:rsidRPr="00306A2A" w:rsidRDefault="00F86CB7" w:rsidP="000667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:rsidR="00F86CB7" w:rsidRPr="00306A2A" w:rsidRDefault="00F86CB7" w:rsidP="00F86CB7">
      <w:pPr>
        <w:pStyle w:val="a3"/>
        <w:numPr>
          <w:ilvl w:val="2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нормативного метода расчета бюджетных ассигнований для финансового обеспечения </w:t>
      </w:r>
      <w:proofErr w:type="gramStart"/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выполнения функций </w:t>
      </w:r>
      <w:r w:rsidR="00306A2A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proofErr w:type="gramEnd"/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>Рожкинское</w:t>
      </w:r>
      <w:proofErr w:type="spellEnd"/>
      <w:r w:rsidR="00240B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по каждому о</w:t>
      </w:r>
      <w:r w:rsidR="00B83248">
        <w:rPr>
          <w:rFonts w:ascii="Times New Roman" w:hAnsi="Times New Roman" w:cs="Times New Roman"/>
          <w:color w:val="000000" w:themeColor="text1"/>
          <w:sz w:val="28"/>
          <w:szCs w:val="28"/>
        </w:rPr>
        <w:t>ргану</w:t>
      </w:r>
      <w:r w:rsidRPr="00306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следующей формуле:</w:t>
      </w:r>
    </w:p>
    <w:p w:rsidR="00F86CB7" w:rsidRDefault="00F86CB7" w:rsidP="00F86CB7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86CB7" w:rsidRDefault="001D3814" w:rsidP="00F86CB7">
      <w:pPr>
        <w:pStyle w:val="a3"/>
        <w:tabs>
          <w:tab w:val="left" w:pos="993"/>
          <w:tab w:val="left" w:pos="1276"/>
        </w:tabs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ОГВ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=Н×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0B36CF">
        <w:rPr>
          <w:rFonts w:ascii="Times New Roman" w:eastAsiaTheme="minorEastAsia" w:hAnsi="Times New Roman" w:cs="Times New Roman"/>
          <w:sz w:val="28"/>
          <w:szCs w:val="28"/>
        </w:rPr>
        <w:t xml:space="preserve">   (8), 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F86CB7" w:rsidRDefault="00F86CB7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6CB7" w:rsidRDefault="001D3814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ОГВ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F86CB7">
        <w:rPr>
          <w:rFonts w:ascii="Times New Roman" w:eastAsiaTheme="minorEastAsia" w:hAnsi="Times New Roman" w:cs="Times New Roman"/>
          <w:sz w:val="28"/>
          <w:szCs w:val="28"/>
        </w:rPr>
        <w:t xml:space="preserve"> бюджетные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ассигнования в </w:t>
      </w:r>
      <w:proofErr w:type="spellStart"/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095057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095057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на финансовое обеспечение выполнения функций органов </w:t>
      </w:r>
      <w:r w:rsidR="00EB66B4"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по </w:t>
      </w:r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095057">
        <w:rPr>
          <w:rFonts w:ascii="Times New Roman" w:eastAsiaTheme="minorEastAsia" w:hAnsi="Times New Roman" w:cs="Times New Roman"/>
          <w:sz w:val="28"/>
          <w:szCs w:val="28"/>
        </w:rPr>
        <w:t>му</w:t>
      </w:r>
      <w:proofErr w:type="spellEnd"/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органу;</w:t>
      </w:r>
    </w:p>
    <w:p w:rsidR="0069409C" w:rsidRDefault="00095057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06C78">
        <w:rPr>
          <w:rFonts w:ascii="Times New Roman" w:eastAsiaTheme="minorEastAsia" w:hAnsi="Times New Roman" w:cs="Times New Roman"/>
          <w:sz w:val="24"/>
          <w:szCs w:val="24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финансовый норматив на обеспечение выполнения функций </w:t>
      </w:r>
      <w:r w:rsidR="004536C9">
        <w:rPr>
          <w:rFonts w:ascii="Times New Roman" w:eastAsiaTheme="minorEastAsia" w:hAnsi="Times New Roman" w:cs="Times New Roman"/>
          <w:sz w:val="28"/>
          <w:szCs w:val="28"/>
        </w:rPr>
        <w:t>органов местного самоуправления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</w:p>
    <w:p w:rsidR="00095057" w:rsidRDefault="001D3814" w:rsidP="00F86CB7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Ч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j</m:t>
            </m:r>
          </m:sup>
        </m:sSup>
      </m:oMath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- предельная штатная численность </w:t>
      </w:r>
      <w:r w:rsidR="00095057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-го органа 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>местного самоуправления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40B0E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240B0E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045E2F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045E2F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095057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26B19" w:rsidRPr="0069409C" w:rsidRDefault="00A26B19" w:rsidP="0069409C">
      <w:pPr>
        <w:pStyle w:val="a3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 на социальное обеспечение населения осуществляется</w:t>
      </w:r>
      <w:r w:rsidR="0069409C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Pr="0069409C">
        <w:rPr>
          <w:rFonts w:ascii="Times New Roman" w:eastAsiaTheme="minorEastAsia" w:hAnsi="Times New Roman" w:cs="Times New Roman"/>
          <w:sz w:val="28"/>
          <w:szCs w:val="28"/>
        </w:rPr>
        <w:t>предостав</w:t>
      </w:r>
      <w:r w:rsidR="0069409C" w:rsidRPr="0069409C">
        <w:rPr>
          <w:rFonts w:ascii="Times New Roman" w:eastAsiaTheme="minorEastAsia" w:hAnsi="Times New Roman" w:cs="Times New Roman"/>
          <w:sz w:val="28"/>
          <w:szCs w:val="28"/>
        </w:rPr>
        <w:t xml:space="preserve">ление социальных </w:t>
      </w:r>
      <w:proofErr w:type="gramStart"/>
      <w:r w:rsidR="0069409C" w:rsidRPr="0069409C">
        <w:rPr>
          <w:rFonts w:ascii="Times New Roman" w:eastAsiaTheme="minorEastAsia" w:hAnsi="Times New Roman" w:cs="Times New Roman"/>
          <w:sz w:val="28"/>
          <w:szCs w:val="28"/>
        </w:rPr>
        <w:t>выплат граждан</w:t>
      </w:r>
      <w:proofErr w:type="gramEnd"/>
      <w:r w:rsidRPr="0069409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26B19" w:rsidRDefault="00A26B19" w:rsidP="0069409C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Объем бюджетных ассигнований на предоставление социальных  выплат гражданам определяется на основе планового метода расчета бюджетных ассигнований раздельно по каждому виду обязательств в виде пенсий, пособий, компенсаций и других социальных выплат по следующим формулам:</w:t>
      </w:r>
    </w:p>
    <w:p w:rsidR="00A26B19" w:rsidRDefault="00A26B19" w:rsidP="003F1892">
      <w:pPr>
        <w:pStyle w:val="a3"/>
        <w:numPr>
          <w:ilvl w:val="0"/>
          <w:numId w:val="4"/>
        </w:numPr>
        <w:tabs>
          <w:tab w:val="left" w:pos="567"/>
          <w:tab w:val="left" w:pos="1276"/>
        </w:tabs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 случае, когда установлен фиксированный размер социальной выплаты:</w:t>
      </w:r>
    </w:p>
    <w:p w:rsidR="003F1892" w:rsidRDefault="003F1892" w:rsidP="003F1892">
      <w:pPr>
        <w:pStyle w:val="a3"/>
        <w:tabs>
          <w:tab w:val="left" w:pos="567"/>
          <w:tab w:val="left" w:pos="1276"/>
        </w:tabs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F1892" w:rsidRDefault="001D3814" w:rsidP="003F1892">
      <w:pPr>
        <w:tabs>
          <w:tab w:val="left" w:pos="567"/>
          <w:tab w:val="left" w:pos="1276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)×12+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</m:nary>
      </m:oMath>
      <w:r w:rsidR="00B81565">
        <w:rPr>
          <w:rFonts w:ascii="Times New Roman" w:eastAsiaTheme="minorEastAsia" w:hAnsi="Times New Roman" w:cs="Times New Roman"/>
          <w:sz w:val="28"/>
          <w:szCs w:val="28"/>
        </w:rPr>
        <w:t xml:space="preserve">   (9</w:t>
      </w:r>
      <w:r w:rsidR="003F1892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B81565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3F1892">
        <w:rPr>
          <w:rFonts w:ascii="Times New Roman" w:eastAsiaTheme="minorEastAsia" w:hAnsi="Times New Roman" w:cs="Times New Roman"/>
          <w:sz w:val="28"/>
          <w:szCs w:val="28"/>
        </w:rPr>
        <w:t xml:space="preserve"> где:</w:t>
      </w:r>
    </w:p>
    <w:p w:rsidR="003F1892" w:rsidRDefault="001D3814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БА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e>
        </m:d>
      </m:oMath>
      <w:r w:rsidR="005C6AA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C6AAB">
        <w:rPr>
          <w:rFonts w:ascii="Times New Roman" w:eastAsiaTheme="minorEastAsia" w:hAnsi="Times New Roman" w:cs="Times New Roman"/>
          <w:sz w:val="28"/>
          <w:szCs w:val="28"/>
        </w:rPr>
        <w:t xml:space="preserve">- бюджетные ассигнования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на предоставление социальных выплат гражданам в 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году;</w:t>
      </w:r>
    </w:p>
    <w:p w:rsidR="008919EC" w:rsidRDefault="001D3814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p>
        </m:sSup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установленный законами Российской Федерации, законами Кировской области и принятыми в соответствии с ними нормативными правовыми актами Правительства Кировской области размер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-го вида;</w:t>
      </w:r>
    </w:p>
    <w:p w:rsidR="007568E2" w:rsidRDefault="001D3814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p>
        </m:sSubSup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среднегодовой коэффициент индексации размера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 w:rsidRPr="008919E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го</w:t>
      </w:r>
      <w:r w:rsidR="008919EC" w:rsidRPr="008919E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вида в 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</w:t>
      </w:r>
      <w:r w:rsidR="007568E2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919EC" w:rsidRDefault="001D3814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Ч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j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i</m:t>
        </m:r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="008919E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 число граждан, имеющих право на социальную выплату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-го вида в 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8919EC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году;</w:t>
      </w:r>
    </w:p>
    <w:p w:rsidR="008919EC" w:rsidRDefault="008919EC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12 – применяется в случае, если выплаты производятся ежемесячно;</w:t>
      </w:r>
    </w:p>
    <w:p w:rsidR="008919EC" w:rsidRDefault="001D3814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p>
        </m:sSup>
      </m:oMath>
      <w:r w:rsidR="008919EC">
        <w:rPr>
          <w:rFonts w:ascii="Times New Roman" w:eastAsiaTheme="minorEastAsia" w:hAnsi="Times New Roman" w:cs="Times New Roman"/>
          <w:sz w:val="28"/>
          <w:szCs w:val="28"/>
        </w:rPr>
        <w:t xml:space="preserve"> - расходы, связанные с доставкой социальной выплаты гражданам </w:t>
      </w:r>
      <w:r w:rsidR="008919EC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8919EC">
        <w:rPr>
          <w:rFonts w:ascii="Times New Roman" w:eastAsiaTheme="minorEastAsia" w:hAnsi="Times New Roman" w:cs="Times New Roman"/>
          <w:sz w:val="28"/>
          <w:szCs w:val="28"/>
        </w:rPr>
        <w:t>-го вида и определяемые в процессах от объема бюджетных ас</w:t>
      </w:r>
      <w:r w:rsidR="00FE3C0A">
        <w:rPr>
          <w:rFonts w:ascii="Times New Roman" w:eastAsiaTheme="minorEastAsia" w:hAnsi="Times New Roman" w:cs="Times New Roman"/>
          <w:sz w:val="28"/>
          <w:szCs w:val="28"/>
        </w:rPr>
        <w:t>сигнований на указанные выплаты.</w:t>
      </w:r>
    </w:p>
    <w:p w:rsidR="00FE3C0A" w:rsidRDefault="00FE3C0A" w:rsidP="003F1892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Pr="00640453" w:rsidRDefault="000E1814" w:rsidP="00640453">
      <w:pPr>
        <w:tabs>
          <w:tab w:val="left" w:pos="567"/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Планирование бюджетных ассигнований на обслуживание муниципального долга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="00640453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772D3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5772D3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осуществляется на основе планового метода расчета бюджетных ассигнований исходя из верхнего предела муниципального долга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0453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района на начало планируемого периода, графиков гашения действующих долговых обязательств, прогноза привлечения кредитов и займов на финансирование дефицита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 xml:space="preserve">бюджета </w:t>
      </w:r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0453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proofErr w:type="gramEnd"/>
      <w:r w:rsidR="00640453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>района.</w:t>
      </w:r>
    </w:p>
    <w:p w:rsidR="000E1814" w:rsidRDefault="000E1814" w:rsidP="000E1814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В качестве расчетных ставок при определении расходов на обслуживание муниципального долга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района используются фактические процентные ставки по действующим долговым обязательствам  и процентная ставка рефинансирования, установленная Центральным банком Российской Федерации, с учетом ее прогнозируемого изменения в очередном финансовом году и плановом периоде, по обязательствам, планируемым к привлечению. </w:t>
      </w:r>
      <w:proofErr w:type="gramEnd"/>
    </w:p>
    <w:p w:rsidR="00E23013" w:rsidRDefault="00E23013" w:rsidP="000E1814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Планирование бюджетных ассигнований исполнение судебных актов по искам к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муниципальному образованию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90014E">
        <w:rPr>
          <w:rFonts w:ascii="Times New Roman" w:eastAsiaTheme="minorEastAsia" w:hAnsi="Times New Roman" w:cs="Times New Roman"/>
          <w:sz w:val="28"/>
          <w:szCs w:val="28"/>
        </w:rPr>
        <w:t>Малмыжск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>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>н</w:t>
      </w:r>
      <w:proofErr w:type="spellEnd"/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0014E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90014E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либо должностных лиц этих органов, 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осуществляется исходя из бюджетных ассигнований текущего года с учетом сроков исполнения указанных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судебных актов.</w:t>
      </w:r>
    </w:p>
    <w:p w:rsidR="00E23013" w:rsidRDefault="00E23013" w:rsidP="00E23013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1814" w:rsidRDefault="004263F8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составе расходов 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 xml:space="preserve"> предусматриваются бюджетные ассигнования резервного фонда администрации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E1814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0E1814">
        <w:rPr>
          <w:rFonts w:ascii="Times New Roman" w:eastAsiaTheme="minorEastAsia" w:hAnsi="Times New Roman" w:cs="Times New Roman"/>
          <w:sz w:val="28"/>
          <w:szCs w:val="28"/>
        </w:rPr>
        <w:t xml:space="preserve"> района на финансовое обеспечение непредвиденных расходов, объем которых не может превышать 3 процентов общего объема расходов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0E181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23013" w:rsidRPr="00E23013" w:rsidRDefault="00E23013" w:rsidP="00E23013">
      <w:pPr>
        <w:tabs>
          <w:tab w:val="left" w:pos="567"/>
          <w:tab w:val="left" w:pos="993"/>
          <w:tab w:val="left" w:pos="127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63B95" w:rsidRDefault="000E1814" w:rsidP="000E1814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 на реализацию муниципальных целевых программ в </w:t>
      </w:r>
      <w:proofErr w:type="spellStart"/>
      <w:r w:rsidR="00563B9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563B95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563B95"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осуществляется на основе планового  метода расчета бюджетных ассигнований в 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lastRenderedPageBreak/>
        <w:t>соответствии с объемами, указанными в перечне муниципальных целевых программ, реализацию которых предлагается осуществлять за счет средств бюджета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Кировской области </w:t>
      </w:r>
      <w:r w:rsidR="00563B95">
        <w:rPr>
          <w:rFonts w:ascii="Times New Roman" w:eastAsiaTheme="minorEastAsia" w:hAnsi="Times New Roman" w:cs="Times New Roman"/>
          <w:sz w:val="28"/>
          <w:szCs w:val="28"/>
        </w:rPr>
        <w:t>в очередном финансовом году (очередном финансовом году и плановом периоде).</w:t>
      </w:r>
      <w:proofErr w:type="gramEnd"/>
    </w:p>
    <w:p w:rsidR="000E1814" w:rsidRDefault="00563B95" w:rsidP="00563B95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Объем бюджетных ассигнований на реализацию Программы управления </w:t>
      </w:r>
      <w:r w:rsidR="003A53C0">
        <w:rPr>
          <w:rFonts w:ascii="Times New Roman" w:eastAsiaTheme="minorEastAsia" w:hAnsi="Times New Roman" w:cs="Times New Roman"/>
          <w:sz w:val="28"/>
          <w:szCs w:val="28"/>
        </w:rPr>
        <w:t>муниципальным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имуществом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3A53C0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A53C0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69409C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финансовом году  определяется в соответствии с проектом указанной Программы.</w:t>
      </w:r>
    </w:p>
    <w:p w:rsidR="00563B95" w:rsidRDefault="00563B95" w:rsidP="00563B95">
      <w:pPr>
        <w:pStyle w:val="a3"/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63B95" w:rsidRDefault="00563B95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Планирование бюджетных ассигнований на расходные обязательства, исполняемые за счет целевых средств от других бюджетов системы Российской Федерации или государственных корпораций, осуществляется, исходя из объема указанных доходов, представляемых главными</w:t>
      </w:r>
      <w:r w:rsidR="00137AAA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администраторами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этих дох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одов, или установленных проектом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Закона Кировской области «Об областном бюджете»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(проектами нормативных правовых актов </w:t>
      </w:r>
      <w:r w:rsidR="00B66D66">
        <w:rPr>
          <w:rFonts w:ascii="Times New Roman" w:eastAsiaTheme="minorEastAsia" w:hAnsi="Times New Roman" w:cs="Times New Roman"/>
          <w:sz w:val="28"/>
          <w:szCs w:val="28"/>
        </w:rPr>
        <w:t>Кировской области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).</w:t>
      </w:r>
      <w:proofErr w:type="gramEnd"/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В случае  составления проекта бюджета</w:t>
      </w:r>
      <w:r w:rsidR="00952CF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324649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52CF7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324649">
        <w:rPr>
          <w:rFonts w:ascii="Times New Roman" w:eastAsiaTheme="minorEastAsia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сроком на три года, в составе расходов  бюджета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предусматриваются условно утверждаемые  расходы на первый год планового периода в объеме не менее 2,5 % общего объема расходов бюджета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>, на второй год планового периода в объеме не м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 xml:space="preserve">енее 5% общего объема расходов бюджета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C527D">
        <w:rPr>
          <w:rFonts w:ascii="Times New Roman" w:eastAsiaTheme="minorEastAsia" w:hAnsi="Times New Roman" w:cs="Times New Roman"/>
          <w:sz w:val="28"/>
          <w:szCs w:val="28"/>
        </w:rPr>
        <w:t>Рожкинское</w:t>
      </w:r>
      <w:proofErr w:type="spellEnd"/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 сельское</w:t>
      </w:r>
      <w:proofErr w:type="gramEnd"/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 поселение  </w:t>
      </w:r>
      <w:proofErr w:type="spellStart"/>
      <w:r w:rsidR="00CC527D">
        <w:rPr>
          <w:rFonts w:ascii="Times New Roman" w:eastAsiaTheme="minorEastAsia" w:hAnsi="Times New Roman" w:cs="Times New Roman"/>
          <w:sz w:val="28"/>
          <w:szCs w:val="28"/>
        </w:rPr>
        <w:t>Малмыжского</w:t>
      </w:r>
      <w:proofErr w:type="spellEnd"/>
      <w:r w:rsidR="00CC527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>района.</w:t>
      </w:r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определения объема бюджетных ассигнований на первый (второй)  год планового периода финансовый норматив (размер выплаты, тариф, бюджетные ассигнования) определяется исходя из установленного базового финансового норматива (размер выплаты, тарифа, бюджетных ассигнований).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53A6B" w:rsidRDefault="00EA60FC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составлении 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бюджета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C527D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 xml:space="preserve"> на очередной финансовый год и (или) плановый период могут быть применены индексы изменения соответствующих бюджетных расходов, определяемые </w:t>
      </w:r>
      <w:r w:rsidR="005F6CF6" w:rsidRPr="005F6CF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</w:t>
      </w:r>
      <w:r w:rsidR="00AB4FA1">
        <w:rPr>
          <w:rFonts w:ascii="Times New Roman" w:eastAsiaTheme="minorEastAsia" w:hAnsi="Times New Roman" w:cs="Times New Roman"/>
          <w:sz w:val="28"/>
          <w:szCs w:val="28"/>
        </w:rPr>
        <w:t xml:space="preserve">Малмыжского </w:t>
      </w:r>
      <w:r w:rsidR="005F6CF6" w:rsidRPr="005F6CF6">
        <w:rPr>
          <w:rFonts w:ascii="Times New Roman" w:eastAsiaTheme="minorEastAsia" w:hAnsi="Times New Roman" w:cs="Times New Roman"/>
          <w:sz w:val="28"/>
          <w:szCs w:val="28"/>
        </w:rPr>
        <w:t>района</w:t>
      </w:r>
      <w:r w:rsidR="00253A6B" w:rsidRPr="005F6CF6">
        <w:rPr>
          <w:rFonts w:ascii="Times New Roman" w:eastAsiaTheme="minorEastAsia" w:hAnsi="Times New Roman" w:cs="Times New Roman"/>
          <w:sz w:val="28"/>
          <w:szCs w:val="28"/>
        </w:rPr>
        <w:t>, а также иные способы планирования бюджетных ассигнований, не отраженные в насто</w:t>
      </w:r>
      <w:r w:rsidR="00253A6B">
        <w:rPr>
          <w:rFonts w:ascii="Times New Roman" w:eastAsiaTheme="minorEastAsia" w:hAnsi="Times New Roman" w:cs="Times New Roman"/>
          <w:sz w:val="28"/>
          <w:szCs w:val="28"/>
        </w:rPr>
        <w:t>ящей Методике.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253A6B" w:rsidRDefault="00253A6B" w:rsidP="00253A6B">
      <w:pPr>
        <w:pStyle w:val="a3"/>
        <w:numPr>
          <w:ilvl w:val="0"/>
          <w:numId w:val="3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составлении бюджета</w:t>
      </w:r>
      <w:r w:rsidR="00B30C25">
        <w:rPr>
          <w:rFonts w:ascii="Times New Roman" w:eastAsiaTheme="minorEastAsia" w:hAnsi="Times New Roman" w:cs="Times New Roman"/>
          <w:sz w:val="28"/>
          <w:szCs w:val="28"/>
        </w:rPr>
        <w:t xml:space="preserve"> поселения  на очередной финансовый год и плановый период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объем бюджетных ассигнований на обеспечение выполнения функций </w:t>
      </w:r>
      <w:r w:rsidR="00AB4FA1" w:rsidRPr="00AB4FA1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муниципальных </w:t>
      </w:r>
      <w:r w:rsidRPr="00AB4FA1">
        <w:rPr>
          <w:rFonts w:ascii="Times New Roman" w:eastAsiaTheme="minorEastAsia" w:hAnsi="Times New Roman" w:cs="Times New Roman"/>
          <w:sz w:val="28"/>
          <w:szCs w:val="28"/>
        </w:rPr>
        <w:t xml:space="preserve"> казенных учреждений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 в соответствии с пунктом 6.1 настоящей Методики </w:t>
      </w:r>
      <w:r w:rsidR="00EA60FC">
        <w:rPr>
          <w:rFonts w:ascii="Times New Roman" w:eastAsiaTheme="minorEastAsia" w:hAnsi="Times New Roman" w:cs="Times New Roman"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учетом доходов от платных услуг, оказываемых указанными учреждениями.</w:t>
      </w:r>
    </w:p>
    <w:p w:rsidR="00253A6B" w:rsidRPr="00253A6B" w:rsidRDefault="00253A6B" w:rsidP="00253A6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794D01" w:rsidRPr="00794D01" w:rsidRDefault="00F53E88" w:rsidP="00794D01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794D01" w:rsidRPr="00794D01" w:rsidSect="00646B9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0592"/>
    <w:multiLevelType w:val="hybridMultilevel"/>
    <w:tmpl w:val="7AAA2E8A"/>
    <w:lvl w:ilvl="0" w:tplc="897A7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A0036B"/>
    <w:multiLevelType w:val="hybridMultilevel"/>
    <w:tmpl w:val="28662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25D1E"/>
    <w:multiLevelType w:val="hybridMultilevel"/>
    <w:tmpl w:val="BC8CFDC2"/>
    <w:lvl w:ilvl="0" w:tplc="C88AE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82961"/>
    <w:multiLevelType w:val="multilevel"/>
    <w:tmpl w:val="43F8CC5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6CC"/>
    <w:rsid w:val="00045E2F"/>
    <w:rsid w:val="00066732"/>
    <w:rsid w:val="0007623C"/>
    <w:rsid w:val="0008766E"/>
    <w:rsid w:val="00095057"/>
    <w:rsid w:val="000B36CF"/>
    <w:rsid w:val="000D4C91"/>
    <w:rsid w:val="000E1814"/>
    <w:rsid w:val="00137AAA"/>
    <w:rsid w:val="001D3814"/>
    <w:rsid w:val="001E4347"/>
    <w:rsid w:val="001F2FED"/>
    <w:rsid w:val="001F6BE3"/>
    <w:rsid w:val="00240B0E"/>
    <w:rsid w:val="00253A6B"/>
    <w:rsid w:val="002B2428"/>
    <w:rsid w:val="002C2604"/>
    <w:rsid w:val="00306686"/>
    <w:rsid w:val="00306A2A"/>
    <w:rsid w:val="00324649"/>
    <w:rsid w:val="00375937"/>
    <w:rsid w:val="0039358A"/>
    <w:rsid w:val="003A53C0"/>
    <w:rsid w:val="003F1892"/>
    <w:rsid w:val="003F4513"/>
    <w:rsid w:val="004263F8"/>
    <w:rsid w:val="0043507C"/>
    <w:rsid w:val="00435271"/>
    <w:rsid w:val="004536C9"/>
    <w:rsid w:val="0048163E"/>
    <w:rsid w:val="00485532"/>
    <w:rsid w:val="004A7871"/>
    <w:rsid w:val="00520F6A"/>
    <w:rsid w:val="00563671"/>
    <w:rsid w:val="00563B95"/>
    <w:rsid w:val="00564BE0"/>
    <w:rsid w:val="005772D3"/>
    <w:rsid w:val="005C0046"/>
    <w:rsid w:val="005C0B6B"/>
    <w:rsid w:val="005C6AAB"/>
    <w:rsid w:val="005F6CF6"/>
    <w:rsid w:val="00605066"/>
    <w:rsid w:val="00640453"/>
    <w:rsid w:val="00646B97"/>
    <w:rsid w:val="00684EFF"/>
    <w:rsid w:val="006879B3"/>
    <w:rsid w:val="0069409C"/>
    <w:rsid w:val="006948E8"/>
    <w:rsid w:val="006A7CAD"/>
    <w:rsid w:val="006B562D"/>
    <w:rsid w:val="006D27DB"/>
    <w:rsid w:val="006D4362"/>
    <w:rsid w:val="007066B1"/>
    <w:rsid w:val="00755353"/>
    <w:rsid w:val="007568E2"/>
    <w:rsid w:val="00763808"/>
    <w:rsid w:val="00773113"/>
    <w:rsid w:val="00787F11"/>
    <w:rsid w:val="00794D01"/>
    <w:rsid w:val="008046A2"/>
    <w:rsid w:val="00841C21"/>
    <w:rsid w:val="008919EC"/>
    <w:rsid w:val="008B3643"/>
    <w:rsid w:val="008D5D0A"/>
    <w:rsid w:val="008F03BA"/>
    <w:rsid w:val="0090014E"/>
    <w:rsid w:val="00952CF7"/>
    <w:rsid w:val="00965B91"/>
    <w:rsid w:val="009957BA"/>
    <w:rsid w:val="009A53AA"/>
    <w:rsid w:val="009B10EC"/>
    <w:rsid w:val="009B2669"/>
    <w:rsid w:val="009D5ED1"/>
    <w:rsid w:val="00A16DD4"/>
    <w:rsid w:val="00A26031"/>
    <w:rsid w:val="00A26B19"/>
    <w:rsid w:val="00A34259"/>
    <w:rsid w:val="00A704D9"/>
    <w:rsid w:val="00A916CC"/>
    <w:rsid w:val="00AB4FA1"/>
    <w:rsid w:val="00AC0714"/>
    <w:rsid w:val="00AC38FE"/>
    <w:rsid w:val="00AE3619"/>
    <w:rsid w:val="00B04026"/>
    <w:rsid w:val="00B0479C"/>
    <w:rsid w:val="00B30C25"/>
    <w:rsid w:val="00B33715"/>
    <w:rsid w:val="00B42FEC"/>
    <w:rsid w:val="00B66D66"/>
    <w:rsid w:val="00B81565"/>
    <w:rsid w:val="00B83248"/>
    <w:rsid w:val="00BE75F4"/>
    <w:rsid w:val="00C07692"/>
    <w:rsid w:val="00CB1A4F"/>
    <w:rsid w:val="00CC527D"/>
    <w:rsid w:val="00CE7E08"/>
    <w:rsid w:val="00CF7185"/>
    <w:rsid w:val="00D0697B"/>
    <w:rsid w:val="00D129B1"/>
    <w:rsid w:val="00D3004A"/>
    <w:rsid w:val="00D34A86"/>
    <w:rsid w:val="00D70153"/>
    <w:rsid w:val="00DA6D49"/>
    <w:rsid w:val="00DE5E72"/>
    <w:rsid w:val="00DE6DD6"/>
    <w:rsid w:val="00E06C78"/>
    <w:rsid w:val="00E23013"/>
    <w:rsid w:val="00E23E98"/>
    <w:rsid w:val="00E30FF5"/>
    <w:rsid w:val="00E3250A"/>
    <w:rsid w:val="00E40451"/>
    <w:rsid w:val="00E5026A"/>
    <w:rsid w:val="00E514CA"/>
    <w:rsid w:val="00E87260"/>
    <w:rsid w:val="00EA60FC"/>
    <w:rsid w:val="00EB3EC7"/>
    <w:rsid w:val="00EB66B4"/>
    <w:rsid w:val="00EE638D"/>
    <w:rsid w:val="00F0274E"/>
    <w:rsid w:val="00F179EE"/>
    <w:rsid w:val="00F517CD"/>
    <w:rsid w:val="00F53E88"/>
    <w:rsid w:val="00F86CB7"/>
    <w:rsid w:val="00FA09FA"/>
    <w:rsid w:val="00FD4BFD"/>
    <w:rsid w:val="00FE0317"/>
    <w:rsid w:val="00FE0F3D"/>
    <w:rsid w:val="00FE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D4"/>
  </w:style>
  <w:style w:type="paragraph" w:styleId="3">
    <w:name w:val="heading 3"/>
    <w:basedOn w:val="a"/>
    <w:next w:val="a"/>
    <w:link w:val="30"/>
    <w:qFormat/>
    <w:rsid w:val="00CC52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6C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514C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5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4C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C52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9320A-5A29-48EC-AACA-BBDF087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9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OPD2</dc:creator>
  <cp:keywords/>
  <dc:description/>
  <cp:lastModifiedBy>сельсовет</cp:lastModifiedBy>
  <cp:revision>52</cp:revision>
  <cp:lastPrinted>2014-11-18T10:56:00Z</cp:lastPrinted>
  <dcterms:created xsi:type="dcterms:W3CDTF">2012-08-30T05:46:00Z</dcterms:created>
  <dcterms:modified xsi:type="dcterms:W3CDTF">2020-06-22T06:09:00Z</dcterms:modified>
</cp:coreProperties>
</file>