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ПОЯСНИТЕЛЬНАЯ ЗАПИСКА</w:t>
      </w:r>
    </w:p>
    <w:p>
      <w:pPr>
        <w:pStyle w:val="Style2"/>
        <w:keepNext w:val="0"/>
        <w:keepLines w:val="0"/>
        <w:widowControl w:val="0"/>
        <w:shd w:val="clear" w:color="auto" w:fill="auto"/>
        <w:bidi w:val="0"/>
        <w:spacing w:before="0" w:after="300" w:line="240" w:lineRule="auto"/>
        <w:ind w:left="0" w:right="0" w:firstLine="0"/>
        <w:jc w:val="center"/>
      </w:pPr>
      <w:r>
        <w:rPr>
          <w:color w:val="000000"/>
          <w:spacing w:val="0"/>
          <w:w w:val="100"/>
          <w:position w:val="0"/>
          <w:shd w:val="clear" w:color="auto" w:fill="auto"/>
          <w:lang w:val="ru-RU" w:eastAsia="ru-RU" w:bidi="ru-RU"/>
        </w:rPr>
        <w:t>к Отчету о результатах контрольной деятельности органа внутреннего</w:t>
        <w:br/>
        <w:t>государственного (муниципального) финансового контроля</w:t>
        <w:br/>
        <w:t>на 1 января 2023 г.</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Отчёт о результатах контрольной деятельности органа внутреннего муниципального финансового контроля за 2022 год и пояснительная записка к нему подготовлены в соответствии с требованиями федерального стандарта внутреннего государственного (муниципального) финансового контроля «Правила составления отчётности о результатах контрольной деятельности», утверждённого Постановлением Правительства Российской Федерации от 16.09.2020г. № 1478.</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Финансовое управление администрации Малмыжского района (далее - финансовое управление) является уполномоченным органом по осуществлению внутреннего муниципального финансового контроля в муниципальном образовании Малмыжский муниципальный район Кировской области в соответствии с Положением о финансовом управлении администрации Малмыжскго района, утвержденного решением районной Думы Малмыжского района от 28.03.2014. № 5/28 «Об утверждении Положения о финансовом управлении администрации Малмыжскго района».</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Общая штатная численность финансового управления по состоянию на 01.01.2023 года составляет 13 человек. Количество должностных лиц, уполномоченных на участие в осуществлении контрольных мероприятий - 1 должностное лицо. По состоянию на 01.01.2023 года, а также в течение 2022 года, по должности муниципальной службы, в должностные обязанности лиц, которые их замещают, входит участие в осуществлении контрольных мероприятий, имелась вакансия.</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Для осуществления внутреннего муниципального финансового контроля имеются персональный компьютер, оргтехника, мебель, канцелярские принадлежности.</w:t>
      </w:r>
    </w:p>
    <w:p>
      <w:pPr>
        <w:pStyle w:val="Style2"/>
        <w:keepNext w:val="0"/>
        <w:keepLines w:val="0"/>
        <w:widowControl w:val="0"/>
        <w:shd w:val="clear" w:color="auto" w:fill="auto"/>
        <w:bidi w:val="0"/>
        <w:spacing w:before="0" w:after="260" w:line="240" w:lineRule="auto"/>
        <w:ind w:left="0" w:right="0" w:firstLine="720"/>
        <w:jc w:val="both"/>
      </w:pPr>
      <w:r>
        <w:rPr>
          <w:color w:val="000000"/>
          <w:spacing w:val="0"/>
          <w:w w:val="100"/>
          <w:position w:val="0"/>
          <w:shd w:val="clear" w:color="auto" w:fill="auto"/>
          <w:lang w:val="ru-RU" w:eastAsia="ru-RU" w:bidi="ru-RU"/>
        </w:rPr>
        <w:t>В 2022 году объем бюджетных средств, затраченных на содержание финансового управления составил 6706,27 тыс.рублей, в т.ч. на обеспечение деятельности органа контроля - 0 тыс.рублей.</w:t>
      </w:r>
    </w:p>
    <w:tbl>
      <w:tblPr>
        <w:tblOverlap w:val="never"/>
        <w:jc w:val="center"/>
        <w:tblLayout w:type="fixed"/>
      </w:tblPr>
      <w:tblGrid>
        <w:gridCol w:w="5846"/>
        <w:gridCol w:w="1994"/>
        <w:gridCol w:w="1710"/>
      </w:tblGrid>
      <w:tr>
        <w:trPr>
          <w:trHeight w:val="143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Всего кассовые расходы по финансовому управлению за 2022 год</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в т.ч. на контролера- ревизора</w:t>
            </w:r>
          </w:p>
        </w:tc>
      </w:tr>
      <w:tr>
        <w:trPr>
          <w:trHeight w:val="335" w:hRule="exact"/>
        </w:trPr>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Заработная плата</w:t>
            </w:r>
          </w:p>
        </w:tc>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ru-RU" w:eastAsia="ru-RU" w:bidi="ru-RU"/>
              </w:rPr>
              <w:t>4 742 421,40</w:t>
            </w:r>
          </w:p>
        </w:tc>
        <w:tc>
          <w:tcPr>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ru-RU" w:eastAsia="ru-RU" w:bidi="ru-RU"/>
              </w:rPr>
              <w:t>0</w:t>
            </w:r>
          </w:p>
        </w:tc>
      </w:tr>
      <w:tr>
        <w:trPr>
          <w:trHeight w:val="515" w:hRule="exact"/>
        </w:trPr>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Социальные пособия и компенсации персоналу в денежной форме(по ФОТ)</w:t>
            </w:r>
          </w:p>
        </w:tc>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ru-RU" w:eastAsia="ru-RU" w:bidi="ru-RU"/>
              </w:rPr>
              <w:t>23 229,35</w:t>
            </w:r>
          </w:p>
        </w:tc>
        <w:tc>
          <w:tcPr>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ru-RU" w:eastAsia="ru-RU" w:bidi="ru-RU"/>
              </w:rPr>
              <w:t>0</w:t>
            </w:r>
          </w:p>
        </w:tc>
      </w:tr>
      <w:tr>
        <w:trPr>
          <w:trHeight w:val="277" w:hRule="exact"/>
        </w:trPr>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Прочие несоциальные выплаты в денежной форме</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ru-RU" w:eastAsia="ru-RU" w:bidi="ru-RU"/>
              </w:rPr>
              <w:t>1 700,00</w:t>
            </w:r>
          </w:p>
        </w:tc>
        <w:tc>
          <w:tcPr>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ru-RU" w:eastAsia="ru-RU" w:bidi="ru-RU"/>
              </w:rPr>
              <w:t>0</w:t>
            </w:r>
          </w:p>
        </w:tc>
      </w:tr>
      <w:tr>
        <w:trPr>
          <w:trHeight w:val="338" w:hRule="exact"/>
        </w:trPr>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Прочие работы, услуги</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ru-RU" w:eastAsia="ru-RU" w:bidi="ru-RU"/>
              </w:rPr>
              <w:t>9 386,00</w:t>
            </w:r>
          </w:p>
        </w:tc>
        <w:tc>
          <w:tcPr>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ru-RU" w:eastAsia="ru-RU" w:bidi="ru-RU"/>
              </w:rPr>
              <w:t>0</w:t>
            </w:r>
          </w:p>
        </w:tc>
      </w:tr>
      <w:tr>
        <w:trPr>
          <w:trHeight w:val="587" w:hRule="exact"/>
        </w:trPr>
        <w:tc>
          <w:tcPr>
            <w:tcBorders>
              <w:top w:val="single" w:sz="4"/>
              <w:left w:val="single" w:sz="4"/>
              <w:bottom w:val="single" w:sz="4"/>
            </w:tcBorders>
            <w:shd w:val="clear" w:color="auto" w:fill="FFFFFF"/>
            <w:vAlign w:val="top"/>
          </w:tcPr>
          <w:p>
            <w:pPr>
              <w:pStyle w:val="Style4"/>
              <w:keepNext w:val="0"/>
              <w:keepLines w:val="0"/>
              <w:widowControl w:val="0"/>
              <w:shd w:val="clear" w:color="auto" w:fill="auto"/>
              <w:bidi w:val="0"/>
              <w:spacing w:before="0" w:after="0" w:line="233" w:lineRule="auto"/>
              <w:ind w:left="0" w:right="0" w:firstLine="0"/>
              <w:jc w:val="left"/>
              <w:rPr>
                <w:sz w:val="22"/>
                <w:szCs w:val="22"/>
              </w:rPr>
            </w:pPr>
            <w:r>
              <w:rPr>
                <w:color w:val="000000"/>
                <w:spacing w:val="0"/>
                <w:w w:val="100"/>
                <w:position w:val="0"/>
                <w:sz w:val="22"/>
                <w:szCs w:val="22"/>
                <w:shd w:val="clear" w:color="auto" w:fill="auto"/>
                <w:lang w:val="ru-RU" w:eastAsia="ru-RU" w:bidi="ru-RU"/>
              </w:rPr>
              <w:t>Социальные пособия и компенсации персоналу в денежной форме (за исключением ФОТ)</w:t>
            </w:r>
          </w:p>
        </w:tc>
        <w:tc>
          <w:tcPr>
            <w:tcBorders>
              <w:top w:val="single" w:sz="4"/>
              <w:left w:val="single" w:sz="4"/>
              <w:bottom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ru-RU" w:eastAsia="ru-RU" w:bidi="ru-RU"/>
              </w:rPr>
              <w:t>359,66</w:t>
            </w:r>
          </w:p>
        </w:tc>
        <w:tc>
          <w:tcPr>
            <w:tcBorders>
              <w:top w:val="single" w:sz="4"/>
              <w:left w:val="single" w:sz="4"/>
              <w:bottom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ru-RU" w:eastAsia="ru-RU" w:bidi="ru-RU"/>
              </w:rPr>
              <w:t>0</w:t>
            </w:r>
          </w:p>
        </w:tc>
      </w:tr>
    </w:tbl>
    <w:p>
      <w:pPr>
        <w:widowControl w:val="0"/>
        <w:spacing w:line="1" w:lineRule="exact"/>
      </w:pPr>
    </w:p>
    <w:tbl>
      <w:tblPr>
        <w:tblOverlap w:val="never"/>
        <w:jc w:val="center"/>
        <w:tblLayout w:type="fixed"/>
      </w:tblPr>
      <w:tblGrid>
        <w:gridCol w:w="5846"/>
        <w:gridCol w:w="1994"/>
        <w:gridCol w:w="1710"/>
      </w:tblGrid>
      <w:tr>
        <w:trPr>
          <w:trHeight w:val="612" w:hRule="exact"/>
        </w:trPr>
        <w:tc>
          <w:tcPr>
            <w:tcBorders>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Социальные пособия и компенсации персоналу в денежной форме</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ru-RU" w:eastAsia="ru-RU" w:bidi="ru-RU"/>
              </w:rPr>
              <w:t>1 509 188,56</w:t>
            </w:r>
          </w:p>
        </w:tc>
        <w:tc>
          <w:tcPr>
            <w:tcBorders>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ru-RU" w:eastAsia="ru-RU" w:bidi="ru-RU"/>
              </w:rPr>
              <w:t>0</w:t>
            </w:r>
          </w:p>
        </w:tc>
      </w:tr>
      <w:tr>
        <w:trPr>
          <w:trHeight w:val="338" w:hRule="exact"/>
        </w:trPr>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Услуги связи</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ru-RU" w:eastAsia="ru-RU" w:bidi="ru-RU"/>
              </w:rPr>
              <w:t>98 653,56</w:t>
            </w:r>
          </w:p>
        </w:tc>
        <w:tc>
          <w:tcPr>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ru-RU" w:eastAsia="ru-RU" w:bidi="ru-RU"/>
              </w:rPr>
              <w:t>0</w:t>
            </w:r>
          </w:p>
        </w:tc>
      </w:tr>
      <w:tr>
        <w:trPr>
          <w:trHeight w:val="342" w:hRule="exact"/>
        </w:trPr>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Работы, услуги по содержанию имущества</w:t>
            </w:r>
          </w:p>
        </w:tc>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ru-RU" w:eastAsia="ru-RU" w:bidi="ru-RU"/>
              </w:rPr>
              <w:t>30 000,00</w:t>
            </w:r>
          </w:p>
        </w:tc>
        <w:tc>
          <w:tcPr>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ru-RU" w:eastAsia="ru-RU" w:bidi="ru-RU"/>
              </w:rPr>
              <w:t>0</w:t>
            </w:r>
          </w:p>
        </w:tc>
      </w:tr>
      <w:tr>
        <w:trPr>
          <w:trHeight w:val="335" w:hRule="exact"/>
        </w:trPr>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Прочие работы, услуги</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ru-RU" w:eastAsia="ru-RU" w:bidi="ru-RU"/>
              </w:rPr>
              <w:t>175 882,96</w:t>
            </w:r>
          </w:p>
        </w:tc>
        <w:tc>
          <w:tcPr>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ru-RU" w:eastAsia="ru-RU" w:bidi="ru-RU"/>
              </w:rPr>
              <w:t>0</w:t>
            </w:r>
          </w:p>
        </w:tc>
      </w:tr>
      <w:tr>
        <w:trPr>
          <w:trHeight w:val="338" w:hRule="exact"/>
        </w:trPr>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Увеличение стоимости основных средств</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ru-RU" w:eastAsia="ru-RU" w:bidi="ru-RU"/>
              </w:rPr>
              <w:t>5 385,00</w:t>
            </w:r>
          </w:p>
        </w:tc>
        <w:tc>
          <w:tcPr>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ru-RU" w:eastAsia="ru-RU" w:bidi="ru-RU"/>
              </w:rPr>
              <w:t>0</w:t>
            </w:r>
          </w:p>
        </w:tc>
      </w:tr>
      <w:tr>
        <w:trPr>
          <w:trHeight w:val="342" w:hRule="exact"/>
        </w:trPr>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Увеличение стоимости М3</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ru-RU" w:eastAsia="ru-RU" w:bidi="ru-RU"/>
              </w:rPr>
              <w:t>110 064,36</w:t>
            </w:r>
          </w:p>
        </w:tc>
        <w:tc>
          <w:tcPr>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ru-RU" w:eastAsia="ru-RU" w:bidi="ru-RU"/>
              </w:rPr>
              <w:t>0</w:t>
            </w:r>
          </w:p>
        </w:tc>
      </w:tr>
      <w:tr>
        <w:trPr>
          <w:trHeight w:val="353" w:hRule="exact"/>
        </w:trPr>
        <w:tc>
          <w:tcPr>
            <w:tcBorders>
              <w:top w:val="single" w:sz="4"/>
              <w:left w:val="single" w:sz="4"/>
              <w:bottom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Всего</w:t>
            </w:r>
          </w:p>
        </w:tc>
        <w:tc>
          <w:tcPr>
            <w:tcBorders>
              <w:top w:val="single" w:sz="4"/>
              <w:left w:val="single" w:sz="4"/>
              <w:bottom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ru-RU" w:eastAsia="ru-RU" w:bidi="ru-RU"/>
              </w:rPr>
              <w:t>6 706 270,85</w:t>
            </w:r>
          </w:p>
        </w:tc>
        <w:tc>
          <w:tcPr>
            <w:tcBorders>
              <w:top w:val="single" w:sz="4"/>
              <w:left w:val="single" w:sz="4"/>
              <w:bottom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ru-RU" w:eastAsia="ru-RU" w:bidi="ru-RU"/>
              </w:rPr>
              <w:t>0</w:t>
            </w:r>
          </w:p>
        </w:tc>
      </w:tr>
    </w:tbl>
    <w:p>
      <w:pPr>
        <w:widowControl w:val="0"/>
        <w:spacing w:after="239" w:line="1" w:lineRule="exact"/>
      </w:pPr>
    </w:p>
    <w:p>
      <w:pPr>
        <w:pStyle w:val="Style2"/>
        <w:keepNext w:val="0"/>
        <w:keepLines w:val="0"/>
        <w:widowControl w:val="0"/>
        <w:shd w:val="clear" w:color="auto" w:fill="auto"/>
        <w:bidi w:val="0"/>
        <w:spacing w:before="0" w:after="0" w:line="276" w:lineRule="auto"/>
        <w:ind w:left="0" w:right="0" w:firstLine="720"/>
        <w:jc w:val="both"/>
      </w:pPr>
      <w:r>
        <w:rPr>
          <w:color w:val="000000"/>
          <w:spacing w:val="0"/>
          <w:w w:val="100"/>
          <w:position w:val="0"/>
          <w:shd w:val="clear" w:color="auto" w:fill="auto"/>
          <w:lang w:val="ru-RU" w:eastAsia="ru-RU" w:bidi="ru-RU"/>
        </w:rPr>
        <w:t>Для назначения (организации) экспертиз, необходимых для проведения контрольных мероприятий, для привлечения независимых экспертов (специализированных экспертных организаций) бюджетные средства не использовались. При проведении контрольных мероприятий экспертизы не назначались, независимые эксперты (специализированные экспертные организации) не привлекались.</w:t>
      </w:r>
    </w:p>
    <w:p>
      <w:pPr>
        <w:pStyle w:val="Style2"/>
        <w:keepNext w:val="0"/>
        <w:keepLines w:val="0"/>
        <w:widowControl w:val="0"/>
        <w:shd w:val="clear" w:color="auto" w:fill="auto"/>
        <w:tabs>
          <w:tab w:pos="533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Основу контрольной деятельности составил План контрольной работы финансового управления администрации Малмыжского района на 2022 год, утвержденный приказом финансового управления администрации Малмыжского район от 30.12.2021</w:t>
        <w:tab/>
        <w:t>№ 47 «Об утверждении Плана</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контрольной работы финансового управления администрации Малмыжского района на 2022 год».</w:t>
      </w:r>
    </w:p>
    <w:p>
      <w:pPr>
        <w:pStyle w:val="Style2"/>
        <w:keepNext w:val="0"/>
        <w:keepLines w:val="0"/>
        <w:widowControl w:val="0"/>
        <w:shd w:val="clear" w:color="auto" w:fill="auto"/>
        <w:bidi w:val="0"/>
        <w:spacing w:before="0" w:after="0" w:line="240" w:lineRule="auto"/>
        <w:ind w:left="0" w:right="0" w:firstLine="720"/>
        <w:jc w:val="left"/>
      </w:pPr>
      <w:r>
        <w:rPr>
          <w:color w:val="000000"/>
          <w:spacing w:val="0"/>
          <w:w w:val="100"/>
          <w:position w:val="0"/>
          <w:shd w:val="clear" w:color="auto" w:fill="auto"/>
          <w:lang w:val="ru-RU" w:eastAsia="ru-RU" w:bidi="ru-RU"/>
        </w:rPr>
        <w:t>В течение 2022 года в план работы вносились изменения:</w:t>
      </w:r>
    </w:p>
    <w:p>
      <w:pPr>
        <w:pStyle w:val="Style2"/>
        <w:keepNext w:val="0"/>
        <w:keepLines w:val="0"/>
        <w:widowControl w:val="0"/>
        <w:shd w:val="clear" w:color="auto" w:fill="auto"/>
        <w:bidi w:val="0"/>
        <w:spacing w:before="0" w:after="0" w:line="240" w:lineRule="auto"/>
        <w:ind w:left="720" w:right="0" w:firstLine="0"/>
        <w:jc w:val="left"/>
      </w:pPr>
      <w:r>
        <w:rPr>
          <w:color w:val="000000"/>
          <w:spacing w:val="0"/>
          <w:w w:val="100"/>
          <w:position w:val="0"/>
          <w:shd w:val="clear" w:color="auto" w:fill="auto"/>
          <w:lang w:val="ru-RU" w:eastAsia="ru-RU" w:bidi="ru-RU"/>
        </w:rPr>
        <w:t>приказ от 28.02.2022 № 6/1 приказ от 25.03.2022 № 8/1 приказ от 28.04.2022 № 12/1, приказ от 11.05.2022 № 13/1 приказ от 29.07.2022 № 22/1.</w:t>
      </w:r>
    </w:p>
    <w:p>
      <w:pPr>
        <w:pStyle w:val="Style2"/>
        <w:keepNext w:val="0"/>
        <w:keepLines w:val="0"/>
        <w:widowControl w:val="0"/>
        <w:shd w:val="clear" w:color="auto" w:fill="auto"/>
        <w:tabs>
          <w:tab w:pos="5566" w:val="left"/>
          <w:tab w:pos="617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Изменения в приказы вносились, в связи с наличием вакантной ставки главного специалиста - контролера - ревизора, а также в связи с особенностями осуществления в 2022 году внутреннего муниципального финансового контроля. В соответствии с постановлением Правительства Российской Федерации от 14.04.2022</w:t>
        <w:tab/>
        <w:t>№</w:t>
        <w:tab/>
        <w:t>665 «Об особенностях</w:t>
      </w:r>
    </w:p>
    <w:p>
      <w:pPr>
        <w:pStyle w:val="Style2"/>
        <w:keepNext w:val="0"/>
        <w:keepLines w:val="0"/>
        <w:widowControl w:val="0"/>
        <w:shd w:val="clear" w:color="auto" w:fill="auto"/>
        <w:tabs>
          <w:tab w:pos="7636" w:val="left"/>
          <w:tab w:pos="8194" w:val="left"/>
        </w:tabs>
        <w:bidi w:val="0"/>
        <w:spacing w:before="0" w:after="0" w:line="240" w:lineRule="auto"/>
        <w:ind w:left="0" w:right="0" w:firstLine="0"/>
        <w:jc w:val="both"/>
      </w:pPr>
      <w:r>
        <w:rPr>
          <w:color w:val="000000"/>
          <w:spacing w:val="0"/>
          <w:w w:val="100"/>
          <w:position w:val="0"/>
          <w:shd w:val="clear" w:color="auto" w:fill="auto"/>
          <w:lang w:val="ru-RU" w:eastAsia="ru-RU" w:bidi="ru-RU"/>
        </w:rPr>
        <w:t>осуществления в 2022 году государственного (муниципального) финансового контроля в отношении главных распорядителей (распорядителей) бюджетных средств, получателей бюджетных средств», постановлением администрации Малмыжского района от 19.05.2022</w:t>
        <w:tab/>
        <w:t>№</w:t>
        <w:tab/>
        <w:t>312 «Об</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особенностях осуществления в 2022 году внутреннего муниципального финансового контроля в отношении главных распорядителей (распорядителей) бюджетных средств и получателей бюджетных средств» до 01 января 2023 года в рамках внутреннего муниципального финансового контроля установлен запрет на проведение проверок главных распорядителей (распорядителей) бюджетных средств и получателей бюджетных средств, в том числе являющихся муниципальными заказчиками. С учетом внесенных</w:t>
        <w:br w:type="page"/>
      </w:r>
      <w:r>
        <w:rPr>
          <w:color w:val="000000"/>
          <w:spacing w:val="0"/>
          <w:w w:val="100"/>
          <w:position w:val="0"/>
          <w:shd w:val="clear" w:color="auto" w:fill="auto"/>
          <w:lang w:val="ru-RU" w:eastAsia="ru-RU" w:bidi="ru-RU"/>
        </w:rPr>
        <w:t>изменений в план контрольной работы финансового управления в 2022 году плановые проверки не проводились.</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 соответствии с приказом финансового управления администрации Малмыжского района от 14.04.2022 № 12 «О проведении внеплановой камеральной проверки» проведена 1 проверка. Тема проверки «Проверка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муниципальных нужд» в отношении отдельной закупки для обеспечения муниципальных нужд по капитальному ремонту здания МКОУ ООШ д. Кинерь по адресу: Кировская обл., Малмыжский район, д. Кинерь, ул. Школьная, д. 15 в части соответствия поставленного товара, выполненной работы (ее результата) или оказанной услуги условиям контракта. По итогам проверки выявлено нарушение требований пункта 1 части 1 статьи 94 Федерального закона № 44-ФЗ, пункта 1 статьи 720 Гражданского кодекса Российской Федерации на сумму 129,4 тыс.ру блей, выразившееся в приемке товара с ухудшенными характеристиками.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По результатам контрольного мероприятия объекту контроля направлено представления об устранении выявленных нарушений действующего законодательства Российской Федерации, его исполнение по состоянию на 01.01.2023 находится на контроле.</w:t>
      </w:r>
    </w:p>
    <w:p>
      <w:pPr>
        <w:pStyle w:val="Style2"/>
        <w:keepNext w:val="0"/>
        <w:keepLines w:val="0"/>
        <w:widowControl w:val="0"/>
        <w:shd w:val="clear" w:color="auto" w:fill="auto"/>
        <w:bidi w:val="0"/>
        <w:spacing w:before="0" w:after="620" w:line="240" w:lineRule="auto"/>
        <w:ind w:left="0" w:right="0" w:firstLine="720"/>
        <w:jc w:val="both"/>
      </w:pPr>
      <w:r>
        <w:rPr>
          <w:color w:val="000000"/>
          <w:spacing w:val="0"/>
          <w:w w:val="100"/>
          <w:position w:val="0"/>
          <w:shd w:val="clear" w:color="auto" w:fill="auto"/>
          <w:lang w:val="ru-RU" w:eastAsia="ru-RU" w:bidi="ru-RU"/>
        </w:rPr>
        <w:t>Жалобы и исковые заявления на решения органа контроля отсутствуют. Жалобы на действия (бездействия) должностных лиц органа контроля при осуществлении ими полномочий по внутреннему муниципальному финансовому контролю.</w:t>
      </w:r>
    </w:p>
    <w:p>
      <w:pPr>
        <w:pStyle w:val="Style2"/>
        <w:keepNext w:val="0"/>
        <w:keepLines w:val="0"/>
        <w:widowControl w:val="0"/>
        <w:shd w:val="clear" w:color="auto" w:fill="auto"/>
        <w:bidi w:val="0"/>
        <w:spacing w:before="0" w:after="3520" w:line="240" w:lineRule="auto"/>
        <w:ind w:left="0" w:right="0" w:firstLine="0"/>
        <w:jc w:val="left"/>
      </w:pPr>
      <w:r>
        <w:drawing>
          <wp:anchor distT="0" distB="0" distL="114300" distR="1877060" simplePos="0" relativeHeight="125829378" behindDoc="0" locked="0" layoutInCell="1" allowOverlap="1">
            <wp:simplePos x="0" y="0"/>
            <wp:positionH relativeFrom="page">
              <wp:posOffset>4239260</wp:posOffset>
            </wp:positionH>
            <wp:positionV relativeFrom="paragraph">
              <wp:posOffset>431800</wp:posOffset>
            </wp:positionV>
            <wp:extent cx="359410" cy="433070"/>
            <wp:wrapSquare wrapText="left"/>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359410" cy="433070"/>
                    </a:xfrm>
                    <a:prstGeom prst="rect"/>
                  </pic:spPr>
                </pic:pic>
              </a:graphicData>
            </a:graphic>
          </wp:anchor>
        </w:drawing>
      </w:r>
      <w:r>
        <mc:AlternateContent>
          <mc:Choice Requires="wps">
            <w:drawing>
              <wp:anchor distT="173990" distB="15875" distL="1120140" distR="114300" simplePos="0" relativeHeight="125829379" behindDoc="0" locked="0" layoutInCell="1" allowOverlap="1">
                <wp:simplePos x="0" y="0"/>
                <wp:positionH relativeFrom="page">
                  <wp:posOffset>5245100</wp:posOffset>
                </wp:positionH>
                <wp:positionV relativeFrom="paragraph">
                  <wp:posOffset>605790</wp:posOffset>
                </wp:positionV>
                <wp:extent cx="1115695" cy="240030"/>
                <wp:wrapSquare wrapText="left"/>
                <wp:docPr id="3" name="Shape 3"/>
                <a:graphic xmlns:a="http://schemas.openxmlformats.org/drawingml/2006/main">
                  <a:graphicData uri="http://schemas.microsoft.com/office/word/2010/wordprocessingShape">
                    <wps:wsp>
                      <wps:cNvSpPr txBox="1"/>
                      <wps:spPr>
                        <a:xfrm>
                          <a:ext cx="1115695" cy="2400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И.Д. Сырцова</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413.pt;margin-top:47.700000000000003pt;width:87.849999999999994pt;height:18.899999999999999pt;z-index:-125829374;mso-wrap-distance-left:88.200000000000003pt;mso-wrap-distance-top:13.699999999999999pt;mso-wrap-distance-right:9.pt;mso-wrap-distance-bottom:1.2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И.Д. Сырцова</w:t>
                      </w:r>
                    </w:p>
                  </w:txbxContent>
                </v:textbox>
                <w10:wrap type="square" side="left" anchorx="page"/>
              </v:shape>
            </w:pict>
          </mc:Fallback>
        </mc:AlternateContent>
      </w:r>
      <w:r>
        <w:rPr>
          <w:color w:val="000000"/>
          <w:spacing w:val="0"/>
          <w:w w:val="100"/>
          <w:position w:val="0"/>
          <w:shd w:val="clear" w:color="auto" w:fill="auto"/>
          <w:lang w:val="ru-RU" w:eastAsia="ru-RU" w:bidi="ru-RU"/>
        </w:rPr>
        <w:t>Заместитель главы администрации Малмыжского района по экономике и финансам, начальник финансового управления</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Исп. Сырцова Ирина Денисовна</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2-25-93</w:t>
      </w:r>
    </w:p>
    <w:sectPr>
      <w:headerReference w:type="default" r:id="rId7"/>
      <w:headerReference w:type="first" r:id="rId8"/>
      <w:footnotePr>
        <w:pos w:val="pageBottom"/>
        <w:numFmt w:val="decimal"/>
        <w:numRestart w:val="continuous"/>
      </w:footnotePr>
      <w:pgSz w:w="11900" w:h="16840"/>
      <w:pgMar w:top="1112" w:left="1400" w:right="927" w:bottom="1328" w:header="0" w:footer="3" w:gutter="0"/>
      <w:pgNumType w:start="1"/>
      <w:cols w:space="720"/>
      <w:noEndnote/>
      <w:titlePg/>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3867785</wp:posOffset>
              </wp:positionH>
              <wp:positionV relativeFrom="page">
                <wp:posOffset>461645</wp:posOffset>
              </wp:positionV>
              <wp:extent cx="52705" cy="86995"/>
              <wp:wrapNone/>
              <wp:docPr id="5" name="Shape 5"/>
              <a:graphic xmlns:a="http://schemas.openxmlformats.org/drawingml/2006/main">
                <a:graphicData uri="http://schemas.microsoft.com/office/word/2010/wordprocessingShape">
                  <wps:wsp>
                    <wps:cNvSpPr txBox="1"/>
                    <wps:spPr>
                      <a:xfrm>
                        <a:ext cx="52705" cy="8699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31" type="#_x0000_t202" style="position:absolute;margin-left:304.55000000000001pt;margin-top:36.350000000000001pt;width:4.1500000000000004pt;height:6.8499999999999996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ru-RU" w:eastAsia="ru-RU" w:bidi="ru-RU"/>
    </w:rPr>
  </w:style>
  <w:style w:type="character" w:customStyle="1" w:styleId="CharStyle3">
    <w:name w:val="Основной текст_"/>
    <w:basedOn w:val="DefaultParagraphFont"/>
    <w:link w:val="Style2"/>
    <w:rPr>
      <w:rFonts w:ascii="Times New Roman" w:eastAsia="Times New Roman" w:hAnsi="Times New Roman" w:cs="Times New Roman"/>
      <w:b w:val="0"/>
      <w:bCs w:val="0"/>
      <w:i w:val="0"/>
      <w:iCs w:val="0"/>
      <w:smallCaps w:val="0"/>
      <w:strike w:val="0"/>
      <w:sz w:val="28"/>
      <w:szCs w:val="28"/>
      <w:u w:val="none"/>
    </w:rPr>
  </w:style>
  <w:style w:type="character" w:customStyle="1" w:styleId="CharStyle5">
    <w:name w:val="Другое_"/>
    <w:basedOn w:val="DefaultParagraphFont"/>
    <w:link w:val="Style4"/>
    <w:rPr>
      <w:rFonts w:ascii="Times New Roman" w:eastAsia="Times New Roman" w:hAnsi="Times New Roman" w:cs="Times New Roman"/>
      <w:b w:val="0"/>
      <w:bCs w:val="0"/>
      <w:i w:val="0"/>
      <w:iCs w:val="0"/>
      <w:smallCaps w:val="0"/>
      <w:strike w:val="0"/>
      <w:sz w:val="28"/>
      <w:szCs w:val="28"/>
      <w:u w:val="none"/>
    </w:rPr>
  </w:style>
  <w:style w:type="character" w:customStyle="1" w:styleId="CharStyle8">
    <w:name w:val="Колонтитул (2)_"/>
    <w:basedOn w:val="DefaultParagraphFont"/>
    <w:link w:val="Style7"/>
    <w:rPr>
      <w:rFonts w:ascii="Times New Roman" w:eastAsia="Times New Roman" w:hAnsi="Times New Roman" w:cs="Times New Roman"/>
      <w:b w:val="0"/>
      <w:bCs w:val="0"/>
      <w:i w:val="0"/>
      <w:iCs w:val="0"/>
      <w:smallCaps w:val="0"/>
      <w:strike w:val="0"/>
      <w:sz w:val="20"/>
      <w:szCs w:val="20"/>
      <w:u w:val="none"/>
    </w:rPr>
  </w:style>
  <w:style w:type="character" w:customStyle="1" w:styleId="CharStyle11">
    <w:name w:val="Основной текст (2)_"/>
    <w:basedOn w:val="DefaultParagraphFont"/>
    <w:link w:val="Style10"/>
    <w:rPr>
      <w:rFonts w:ascii="Times New Roman" w:eastAsia="Times New Roman" w:hAnsi="Times New Roman" w:cs="Times New Roman"/>
      <w:b w:val="0"/>
      <w:bCs w:val="0"/>
      <w:i w:val="0"/>
      <w:iCs w:val="0"/>
      <w:smallCaps w:val="0"/>
      <w:strike w:val="0"/>
      <w:sz w:val="20"/>
      <w:szCs w:val="20"/>
      <w:u w:val="none"/>
    </w:rPr>
  </w:style>
  <w:style w:type="paragraph" w:customStyle="1" w:styleId="Style2">
    <w:name w:val="Основной текст"/>
    <w:basedOn w:val="Normal"/>
    <w:link w:val="CharStyle3"/>
    <w:pPr>
      <w:widowControl w:val="0"/>
      <w:shd w:val="clear" w:color="auto" w:fill="FFFFFF"/>
      <w:ind w:firstLine="400"/>
    </w:pPr>
    <w:rPr>
      <w:rFonts w:ascii="Times New Roman" w:eastAsia="Times New Roman" w:hAnsi="Times New Roman" w:cs="Times New Roman"/>
      <w:b w:val="0"/>
      <w:bCs w:val="0"/>
      <w:i w:val="0"/>
      <w:iCs w:val="0"/>
      <w:smallCaps w:val="0"/>
      <w:strike w:val="0"/>
      <w:sz w:val="28"/>
      <w:szCs w:val="28"/>
      <w:u w:val="none"/>
    </w:rPr>
  </w:style>
  <w:style w:type="paragraph" w:customStyle="1" w:styleId="Style4">
    <w:name w:val="Другое"/>
    <w:basedOn w:val="Normal"/>
    <w:link w:val="CharStyle5"/>
    <w:pPr>
      <w:widowControl w:val="0"/>
      <w:shd w:val="clear" w:color="auto" w:fill="FFFFFF"/>
      <w:ind w:firstLine="400"/>
    </w:pPr>
    <w:rPr>
      <w:rFonts w:ascii="Times New Roman" w:eastAsia="Times New Roman" w:hAnsi="Times New Roman" w:cs="Times New Roman"/>
      <w:b w:val="0"/>
      <w:bCs w:val="0"/>
      <w:i w:val="0"/>
      <w:iCs w:val="0"/>
      <w:smallCaps w:val="0"/>
      <w:strike w:val="0"/>
      <w:sz w:val="28"/>
      <w:szCs w:val="28"/>
      <w:u w:val="none"/>
    </w:rPr>
  </w:style>
  <w:style w:type="paragraph" w:customStyle="1" w:styleId="Style7">
    <w:name w:val="Колонтитул (2)"/>
    <w:basedOn w:val="Normal"/>
    <w:link w:val="CharStyle8"/>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0">
    <w:name w:val="Основной текст (2)"/>
    <w:basedOn w:val="Normal"/>
    <w:link w:val="CharStyle11"/>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s>
</file>